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r w:rsidR="000D68F9">
        <w:rPr>
          <w:rFonts w:eastAsia="Calibri"/>
          <w:spacing w:val="-8"/>
          <w:sz w:val="28"/>
          <w:szCs w:val="28"/>
        </w:rPr>
        <w:t xml:space="preserve">анализа </w:t>
      </w:r>
      <w:r w:rsidR="00284840" w:rsidRPr="00284840">
        <w:rPr>
          <w:rFonts w:eastAsia="Calibri"/>
          <w:spacing w:val="-8"/>
          <w:sz w:val="28"/>
          <w:szCs w:val="28"/>
        </w:rPr>
        <w:t xml:space="preserve"> эффективности расходования бюджетных средств, направленных на оплату работ по разработке проектно-сметной документации на капитальный ремонт, реконструкцию и строительство объектов</w:t>
      </w:r>
    </w:p>
    <w:p w:rsidR="00284840" w:rsidRDefault="00772843" w:rsidP="00C17566">
      <w:pPr>
        <w:spacing w:before="120"/>
        <w:ind w:firstLine="709"/>
        <w:jc w:val="both"/>
        <w:rPr>
          <w:i/>
          <w:sz w:val="28"/>
          <w:szCs w:val="28"/>
        </w:rPr>
      </w:pPr>
      <w:r w:rsidRPr="006E04EF">
        <w:rPr>
          <w:sz w:val="28"/>
          <w:szCs w:val="28"/>
        </w:rPr>
        <w:t>В соответствии с планом работы на 20</w:t>
      </w:r>
      <w:r w:rsidR="003E27F3">
        <w:rPr>
          <w:sz w:val="28"/>
          <w:szCs w:val="28"/>
        </w:rPr>
        <w:t>20</w:t>
      </w:r>
      <w:r w:rsidRPr="006E04EF">
        <w:rPr>
          <w:sz w:val="28"/>
          <w:szCs w:val="28"/>
        </w:rPr>
        <w:t xml:space="preserve"> год</w:t>
      </w:r>
      <w:r w:rsidR="000418F2">
        <w:rPr>
          <w:sz w:val="28"/>
          <w:szCs w:val="28"/>
        </w:rPr>
        <w:t>,</w:t>
      </w:r>
      <w:r w:rsidRPr="006E04EF">
        <w:rPr>
          <w:sz w:val="28"/>
          <w:szCs w:val="28"/>
        </w:rPr>
        <w:t xml:space="preserve"> Контрольно-счетной палатой муниципального образования городского округа "Сыктывкар" </w:t>
      </w:r>
      <w:r w:rsidRPr="00284840">
        <w:rPr>
          <w:sz w:val="28"/>
          <w:szCs w:val="28"/>
        </w:rPr>
        <w:t xml:space="preserve">проведен </w:t>
      </w:r>
      <w:r w:rsidR="000D68F9" w:rsidRPr="00284840">
        <w:rPr>
          <w:sz w:val="28"/>
          <w:szCs w:val="28"/>
        </w:rPr>
        <w:t xml:space="preserve">анализ </w:t>
      </w:r>
      <w:r w:rsidR="00284840" w:rsidRPr="00284840">
        <w:rPr>
          <w:sz w:val="28"/>
          <w:szCs w:val="28"/>
        </w:rPr>
        <w:t xml:space="preserve"> эффективности расходования бюджетных средств, направленных в 2017-2019 годах на оплату работ по разработке проектно-сметной документации</w:t>
      </w:r>
      <w:r w:rsidR="00BA4513">
        <w:rPr>
          <w:sz w:val="28"/>
          <w:szCs w:val="28"/>
        </w:rPr>
        <w:t xml:space="preserve"> (в том числе инженерных изысканий)</w:t>
      </w:r>
      <w:r w:rsidR="00284840" w:rsidRPr="00284840">
        <w:rPr>
          <w:sz w:val="28"/>
          <w:szCs w:val="28"/>
        </w:rPr>
        <w:t xml:space="preserve"> на капитальный ремонт, реконструкцию и строительство объектов.</w:t>
      </w:r>
    </w:p>
    <w:p w:rsidR="00692BDB" w:rsidRDefault="00B81E30" w:rsidP="00284840">
      <w:pPr>
        <w:spacing w:before="120"/>
        <w:ind w:firstLine="709"/>
        <w:jc w:val="both"/>
        <w:rPr>
          <w:sz w:val="28"/>
          <w:szCs w:val="28"/>
        </w:rPr>
      </w:pPr>
      <w:r w:rsidRPr="00C17566">
        <w:rPr>
          <w:sz w:val="28"/>
          <w:szCs w:val="28"/>
        </w:rPr>
        <w:t xml:space="preserve">По итогам проведенного анализа </w:t>
      </w:r>
      <w:r w:rsidR="00197720">
        <w:rPr>
          <w:sz w:val="28"/>
          <w:szCs w:val="28"/>
        </w:rPr>
        <w:t>установлено:</w:t>
      </w:r>
    </w:p>
    <w:p w:rsidR="00197720" w:rsidRDefault="00197720" w:rsidP="00284840">
      <w:pPr>
        <w:spacing w:before="120"/>
        <w:ind w:firstLine="709"/>
        <w:jc w:val="both"/>
        <w:rPr>
          <w:sz w:val="28"/>
          <w:szCs w:val="28"/>
        </w:rPr>
      </w:pPr>
      <w:r>
        <w:rPr>
          <w:sz w:val="28"/>
          <w:szCs w:val="28"/>
        </w:rPr>
        <w:t>В проверяемом периоде бюджетные средства направлены на разработку проектно-сметной документации 32 объектов на общую сумму 40 235,37 тыс. рублей</w:t>
      </w:r>
      <w:r w:rsidR="001745F7">
        <w:rPr>
          <w:sz w:val="28"/>
          <w:szCs w:val="28"/>
        </w:rPr>
        <w:t xml:space="preserve">, из которых: по 14 объектам проектно-сметная документация разработана, и определена сметная стоимость, по 18 объектам разработка проектно-сметной документации не </w:t>
      </w:r>
      <w:r w:rsidR="003124BE">
        <w:rPr>
          <w:sz w:val="28"/>
          <w:szCs w:val="28"/>
        </w:rPr>
        <w:t>оконч</w:t>
      </w:r>
      <w:r w:rsidR="001745F7">
        <w:rPr>
          <w:sz w:val="28"/>
          <w:szCs w:val="28"/>
        </w:rPr>
        <w:t>ена.</w:t>
      </w:r>
    </w:p>
    <w:p w:rsidR="006A1021" w:rsidRDefault="002A5223" w:rsidP="002A5223">
      <w:pPr>
        <w:ind w:firstLine="709"/>
        <w:jc w:val="both"/>
        <w:rPr>
          <w:sz w:val="28"/>
          <w:szCs w:val="28"/>
        </w:rPr>
      </w:pPr>
      <w:r>
        <w:rPr>
          <w:sz w:val="28"/>
          <w:szCs w:val="28"/>
        </w:rPr>
        <w:t>Общая сметная стоимость14 объектов, по которым разработана проектно-сметная документация, составляет 1 110 349,79 тыс. рублей</w:t>
      </w:r>
      <w:r w:rsidR="00CC3D12">
        <w:rPr>
          <w:sz w:val="28"/>
          <w:szCs w:val="28"/>
        </w:rPr>
        <w:t xml:space="preserve"> или</w:t>
      </w:r>
      <w:r>
        <w:rPr>
          <w:sz w:val="28"/>
          <w:szCs w:val="28"/>
        </w:rPr>
        <w:t xml:space="preserve"> 35 процентов от общего планового объема налоговых и неналоговых доходов муниципального бюджета в 2020 году.</w:t>
      </w:r>
      <w:r w:rsidR="00BA4513">
        <w:rPr>
          <w:sz w:val="28"/>
          <w:szCs w:val="28"/>
        </w:rPr>
        <w:t xml:space="preserve"> </w:t>
      </w:r>
      <w:r w:rsidR="006A1021">
        <w:rPr>
          <w:sz w:val="28"/>
          <w:szCs w:val="28"/>
        </w:rPr>
        <w:t>Только по 5 из 14 объект</w:t>
      </w:r>
      <w:r w:rsidR="00913D77">
        <w:rPr>
          <w:sz w:val="28"/>
          <w:szCs w:val="28"/>
        </w:rPr>
        <w:t>ам</w:t>
      </w:r>
      <w:r w:rsidR="006A1021">
        <w:rPr>
          <w:sz w:val="28"/>
          <w:szCs w:val="28"/>
        </w:rPr>
        <w:t xml:space="preserve"> проектно-сметная документация используется</w:t>
      </w:r>
      <w:r w:rsidR="00EF3296">
        <w:rPr>
          <w:sz w:val="28"/>
          <w:szCs w:val="28"/>
        </w:rPr>
        <w:t>, строительно-монтажные работы выполняются или планируются к выполнению в 2020 году.</w:t>
      </w:r>
    </w:p>
    <w:p w:rsidR="005174EF" w:rsidRDefault="006C0D2D" w:rsidP="002A5223">
      <w:pPr>
        <w:ind w:firstLine="709"/>
        <w:jc w:val="both"/>
        <w:rPr>
          <w:sz w:val="28"/>
          <w:szCs w:val="28"/>
        </w:rPr>
      </w:pPr>
      <w:r>
        <w:rPr>
          <w:sz w:val="28"/>
          <w:szCs w:val="28"/>
        </w:rPr>
        <w:t>П</w:t>
      </w:r>
      <w:r w:rsidR="005174EF">
        <w:rPr>
          <w:sz w:val="28"/>
          <w:szCs w:val="28"/>
        </w:rPr>
        <w:t xml:space="preserve">о </w:t>
      </w:r>
      <w:r w:rsidR="00A76A0A">
        <w:rPr>
          <w:sz w:val="28"/>
          <w:szCs w:val="28"/>
        </w:rPr>
        <w:t xml:space="preserve">3 </w:t>
      </w:r>
      <w:r w:rsidR="005174EF">
        <w:rPr>
          <w:sz w:val="28"/>
          <w:szCs w:val="28"/>
        </w:rPr>
        <w:t>объект</w:t>
      </w:r>
      <w:r w:rsidR="000418F2">
        <w:rPr>
          <w:sz w:val="28"/>
          <w:szCs w:val="28"/>
        </w:rPr>
        <w:t>ам</w:t>
      </w:r>
      <w:r w:rsidR="005174EF">
        <w:rPr>
          <w:sz w:val="28"/>
          <w:szCs w:val="28"/>
        </w:rPr>
        <w:t xml:space="preserve"> реализация в текущем году и плановом периоде не запланирована.</w:t>
      </w:r>
    </w:p>
    <w:p w:rsidR="003124BE" w:rsidRDefault="00A76A0A" w:rsidP="002A5223">
      <w:pPr>
        <w:ind w:firstLine="709"/>
        <w:jc w:val="both"/>
        <w:rPr>
          <w:sz w:val="28"/>
          <w:szCs w:val="28"/>
        </w:rPr>
      </w:pPr>
      <w:r>
        <w:rPr>
          <w:sz w:val="28"/>
          <w:szCs w:val="28"/>
        </w:rPr>
        <w:t>По 4 объект</w:t>
      </w:r>
      <w:r w:rsidR="000418F2">
        <w:rPr>
          <w:sz w:val="28"/>
          <w:szCs w:val="28"/>
        </w:rPr>
        <w:t>ам</w:t>
      </w:r>
      <w:r>
        <w:rPr>
          <w:sz w:val="28"/>
          <w:szCs w:val="28"/>
        </w:rPr>
        <w:t xml:space="preserve"> в проверяемом периоде осуществлялась корректировка разработанных ранее инженерных изысканий и проектно-сметной документации</w:t>
      </w:r>
      <w:r w:rsidR="000418F2">
        <w:rPr>
          <w:sz w:val="28"/>
          <w:szCs w:val="28"/>
        </w:rPr>
        <w:t>, что повлекло дополнительные расходы муниципального бюджета</w:t>
      </w:r>
      <w:r>
        <w:rPr>
          <w:sz w:val="28"/>
          <w:szCs w:val="28"/>
        </w:rPr>
        <w:t>.</w:t>
      </w:r>
    </w:p>
    <w:p w:rsidR="00A76A0A" w:rsidRDefault="00A76A0A" w:rsidP="002A5223">
      <w:pPr>
        <w:ind w:firstLine="709"/>
        <w:jc w:val="both"/>
        <w:rPr>
          <w:sz w:val="28"/>
          <w:szCs w:val="28"/>
        </w:rPr>
      </w:pPr>
      <w:r>
        <w:rPr>
          <w:sz w:val="28"/>
          <w:szCs w:val="28"/>
        </w:rPr>
        <w:t>По 5 объект</w:t>
      </w:r>
      <w:r w:rsidR="000418F2">
        <w:rPr>
          <w:sz w:val="28"/>
          <w:szCs w:val="28"/>
        </w:rPr>
        <w:t>ам</w:t>
      </w:r>
      <w:r w:rsidR="00BA4513">
        <w:rPr>
          <w:sz w:val="28"/>
          <w:szCs w:val="28"/>
        </w:rPr>
        <w:t xml:space="preserve"> принято решение о разработке новой проектно-сметной документации, в том числе в связи с </w:t>
      </w:r>
      <w:proofErr w:type="gramStart"/>
      <w:r w:rsidR="00BA4513">
        <w:rPr>
          <w:sz w:val="28"/>
          <w:szCs w:val="28"/>
        </w:rPr>
        <w:t>не прохождением</w:t>
      </w:r>
      <w:proofErr w:type="gramEnd"/>
      <w:r w:rsidR="00BA4513">
        <w:rPr>
          <w:sz w:val="28"/>
          <w:szCs w:val="28"/>
        </w:rPr>
        <w:t xml:space="preserve"> государственной экспертизы и расторжением контрактов с разработчиками, несоответствием документации нормативным требованиям, истечением сроков действия инженерных изысканий, отсутствием спроса среди подрядчиков по реализации объекта.</w:t>
      </w:r>
    </w:p>
    <w:p w:rsidR="00BA4513" w:rsidRDefault="000418F2" w:rsidP="002A5223">
      <w:pPr>
        <w:ind w:firstLine="709"/>
        <w:jc w:val="both"/>
        <w:rPr>
          <w:sz w:val="28"/>
          <w:szCs w:val="28"/>
        </w:rPr>
      </w:pPr>
      <w:r>
        <w:rPr>
          <w:sz w:val="28"/>
          <w:szCs w:val="28"/>
        </w:rPr>
        <w:t>Таким образом, в</w:t>
      </w:r>
      <w:bookmarkStart w:id="0" w:name="_GoBack"/>
      <w:bookmarkEnd w:id="0"/>
      <w:r w:rsidR="00AE4642">
        <w:rPr>
          <w:sz w:val="28"/>
          <w:szCs w:val="28"/>
        </w:rPr>
        <w:t xml:space="preserve"> ходе проведения анализа установлено неэффективное расходование бюджетных средств в общей сумме 14 619,39 тыс. рублей, что составляет 36 процентов от общей суммы  анализируемых расходов на разработку проектно-сметной документации, в том числе: расходы на проектно-сметную документацию, которая не была использована – 9 566,36 тыс. рублей, расходы на корректировку проектно-сметной документации – 5 053,03 тыс. рублей.</w:t>
      </w:r>
    </w:p>
    <w:p w:rsidR="00EF5D13" w:rsidRPr="00C17566" w:rsidRDefault="00EF5D13" w:rsidP="002A5223">
      <w:pPr>
        <w:ind w:firstLine="709"/>
        <w:jc w:val="both"/>
        <w:rPr>
          <w:sz w:val="28"/>
          <w:szCs w:val="28"/>
        </w:rPr>
      </w:pPr>
    </w:p>
    <w:sectPr w:rsidR="00EF5D13" w:rsidRPr="00C17566"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C0" w:rsidRDefault="00D363C0">
      <w:r>
        <w:separator/>
      </w:r>
    </w:p>
  </w:endnote>
  <w:endnote w:type="continuationSeparator" w:id="0">
    <w:p w:rsidR="00D363C0" w:rsidRDefault="00D3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C0" w:rsidRDefault="00D363C0">
      <w:r>
        <w:separator/>
      </w:r>
    </w:p>
  </w:footnote>
  <w:footnote w:type="continuationSeparator" w:id="0">
    <w:p w:rsidR="00D363C0" w:rsidRDefault="00D3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35E2">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97431"/>
    <w:multiLevelType w:val="hybridMultilevel"/>
    <w:tmpl w:val="DD2CA3BA"/>
    <w:lvl w:ilvl="0" w:tplc="B1D0E996">
      <w:start w:val="1"/>
      <w:numFmt w:val="bullet"/>
      <w:lvlText w:val=""/>
      <w:lvlJc w:val="left"/>
      <w:pPr>
        <w:tabs>
          <w:tab w:val="num" w:pos="737"/>
        </w:tabs>
        <w:ind w:left="737" w:hanging="510"/>
      </w:pPr>
      <w:rPr>
        <w:rFonts w:ascii="Symbol" w:hAnsi="Symbol" w:hint="default"/>
      </w:rPr>
    </w:lvl>
    <w:lvl w:ilvl="1" w:tplc="F3B4F6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7"/>
  </w:num>
  <w:num w:numId="6">
    <w:abstractNumId w:val="20"/>
  </w:num>
  <w:num w:numId="7">
    <w:abstractNumId w:val="14"/>
  </w:num>
  <w:num w:numId="8">
    <w:abstractNumId w:val="0"/>
  </w:num>
  <w:num w:numId="9">
    <w:abstractNumId w:val="13"/>
  </w:num>
  <w:num w:numId="10">
    <w:abstractNumId w:val="18"/>
  </w:num>
  <w:num w:numId="11">
    <w:abstractNumId w:val="5"/>
  </w:num>
  <w:num w:numId="12">
    <w:abstractNumId w:val="6"/>
  </w:num>
  <w:num w:numId="13">
    <w:abstractNumId w:val="1"/>
  </w:num>
  <w:num w:numId="14">
    <w:abstractNumId w:val="4"/>
  </w:num>
  <w:num w:numId="15">
    <w:abstractNumId w:val="12"/>
  </w:num>
  <w:num w:numId="16">
    <w:abstractNumId w:val="15"/>
  </w:num>
  <w:num w:numId="17">
    <w:abstractNumId w:val="9"/>
  </w:num>
  <w:num w:numId="18">
    <w:abstractNumId w:val="10"/>
  </w:num>
  <w:num w:numId="19">
    <w:abstractNumId w:val="11"/>
  </w:num>
  <w:num w:numId="20">
    <w:abstractNumId w:val="3"/>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5DE"/>
    <w:rsid w:val="000418F2"/>
    <w:rsid w:val="00041A8D"/>
    <w:rsid w:val="00042059"/>
    <w:rsid w:val="00042953"/>
    <w:rsid w:val="00042EF7"/>
    <w:rsid w:val="00043328"/>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0E1E"/>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68F9"/>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5F7"/>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20"/>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92C"/>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4840"/>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223"/>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4BE"/>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5F1"/>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C17"/>
    <w:rsid w:val="00512FAE"/>
    <w:rsid w:val="00512FD9"/>
    <w:rsid w:val="0051394B"/>
    <w:rsid w:val="0051451E"/>
    <w:rsid w:val="00514D38"/>
    <w:rsid w:val="00514E4F"/>
    <w:rsid w:val="00514EA7"/>
    <w:rsid w:val="00515E15"/>
    <w:rsid w:val="005162CA"/>
    <w:rsid w:val="005174EF"/>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03B"/>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BDB"/>
    <w:rsid w:val="00692D9C"/>
    <w:rsid w:val="00693E1B"/>
    <w:rsid w:val="00695075"/>
    <w:rsid w:val="0069543A"/>
    <w:rsid w:val="0069570F"/>
    <w:rsid w:val="0069575A"/>
    <w:rsid w:val="00695B83"/>
    <w:rsid w:val="006960B1"/>
    <w:rsid w:val="0069638B"/>
    <w:rsid w:val="00697D5E"/>
    <w:rsid w:val="00697E32"/>
    <w:rsid w:val="00697FCC"/>
    <w:rsid w:val="006A0F0F"/>
    <w:rsid w:val="006A1021"/>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0D2D"/>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4F4"/>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D7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35E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0A"/>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EE6"/>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42"/>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ACD"/>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7BC"/>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30"/>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1859"/>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513"/>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4FC5"/>
    <w:rsid w:val="00C1602F"/>
    <w:rsid w:val="00C163D8"/>
    <w:rsid w:val="00C16A7C"/>
    <w:rsid w:val="00C17566"/>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2D6"/>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D12"/>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2968"/>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3C0"/>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569"/>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602"/>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296"/>
    <w:rsid w:val="00EF3B10"/>
    <w:rsid w:val="00EF5024"/>
    <w:rsid w:val="00EF5D13"/>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55F9"/>
    <w:rsid w:val="00F96284"/>
    <w:rsid w:val="00F9643B"/>
    <w:rsid w:val="00F96AC5"/>
    <w:rsid w:val="00F978E9"/>
    <w:rsid w:val="00F97A32"/>
    <w:rsid w:val="00FA02B8"/>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1551-8348-4AFA-AF10-84631A8B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6</cp:revision>
  <cp:lastPrinted>2020-06-30T08:54:00Z</cp:lastPrinted>
  <dcterms:created xsi:type="dcterms:W3CDTF">2020-08-25T09:10:00Z</dcterms:created>
  <dcterms:modified xsi:type="dcterms:W3CDTF">2020-08-28T07:16:00Z</dcterms:modified>
</cp:coreProperties>
</file>