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26" w:rsidRPr="00377026" w:rsidRDefault="00377026" w:rsidP="003770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377026">
        <w:rPr>
          <w:b/>
          <w:color w:val="000000"/>
          <w:sz w:val="28"/>
          <w:szCs w:val="28"/>
        </w:rPr>
        <w:t>б итогах аудита в сфере закупок, осуществляемых</w:t>
      </w:r>
    </w:p>
    <w:p w:rsidR="00377026" w:rsidRPr="00377026" w:rsidRDefault="00377026" w:rsidP="00377026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377026">
        <w:rPr>
          <w:b/>
          <w:color w:val="000000"/>
          <w:sz w:val="28"/>
          <w:szCs w:val="28"/>
        </w:rPr>
        <w:t>Управлением культуры администрации МО ГО "Сыктывкар"</w:t>
      </w:r>
    </w:p>
    <w:p w:rsidR="004461D9" w:rsidRDefault="004B25B1" w:rsidP="004461D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</w:t>
      </w:r>
      <w:r w:rsidR="007D65EE">
        <w:rPr>
          <w:rFonts w:eastAsia="Calibri"/>
          <w:sz w:val="28"/>
          <w:szCs w:val="28"/>
        </w:rPr>
        <w:t>плана работы на 201</w:t>
      </w:r>
      <w:r w:rsidR="00777718">
        <w:rPr>
          <w:rFonts w:eastAsia="Calibri"/>
          <w:sz w:val="28"/>
          <w:szCs w:val="28"/>
        </w:rPr>
        <w:t>8</w:t>
      </w:r>
      <w:r w:rsidR="007D65EE">
        <w:rPr>
          <w:rFonts w:eastAsia="Calibri"/>
          <w:sz w:val="28"/>
          <w:szCs w:val="28"/>
        </w:rPr>
        <w:t xml:space="preserve"> год</w:t>
      </w:r>
      <w:r w:rsidR="00F47C95">
        <w:rPr>
          <w:rFonts w:eastAsia="Calibri"/>
          <w:sz w:val="28"/>
          <w:szCs w:val="28"/>
        </w:rPr>
        <w:t>,</w:t>
      </w:r>
      <w:r w:rsidRPr="008E2D5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Контрольно-счетной палатой проведен</w:t>
      </w:r>
      <w:r w:rsidR="00173368">
        <w:rPr>
          <w:rFonts w:eastAsia="Calibri"/>
          <w:sz w:val="28"/>
          <w:szCs w:val="28"/>
        </w:rPr>
        <w:t xml:space="preserve"> </w:t>
      </w:r>
      <w:r w:rsidR="004461D9" w:rsidRPr="004461D9">
        <w:rPr>
          <w:rFonts w:eastAsia="Calibri"/>
          <w:sz w:val="28"/>
          <w:szCs w:val="28"/>
        </w:rPr>
        <w:t>аудит в сфере закупок, осуществляемых Управлением культуры администрации МО ГО "Сыктывкар"</w:t>
      </w:r>
      <w:r w:rsidR="00022ECA">
        <w:rPr>
          <w:rFonts w:eastAsia="Calibri"/>
          <w:sz w:val="28"/>
          <w:szCs w:val="28"/>
        </w:rPr>
        <w:t>.</w:t>
      </w:r>
    </w:p>
    <w:p w:rsidR="00932F25" w:rsidRPr="00022ECA" w:rsidRDefault="00932F25" w:rsidP="00932F25">
      <w:pPr>
        <w:spacing w:before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022ECA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итогам аудита закупок подготовлен отчет, в котором </w:t>
      </w:r>
      <w:r w:rsidRPr="00022ECA">
        <w:rPr>
          <w:rFonts w:eastAsia="Calibri"/>
          <w:sz w:val="28"/>
          <w:szCs w:val="28"/>
        </w:rPr>
        <w:t xml:space="preserve">отражены </w:t>
      </w:r>
      <w:r>
        <w:rPr>
          <w:rFonts w:eastAsia="Calibri"/>
          <w:sz w:val="28"/>
          <w:szCs w:val="28"/>
        </w:rPr>
        <w:t xml:space="preserve">следующие выводы и </w:t>
      </w:r>
      <w:r w:rsidRPr="00022ECA">
        <w:rPr>
          <w:rFonts w:eastAsia="Calibri"/>
          <w:sz w:val="28"/>
          <w:szCs w:val="28"/>
        </w:rPr>
        <w:t>предложения об устранении</w:t>
      </w:r>
      <w:r>
        <w:rPr>
          <w:rFonts w:eastAsia="Calibri"/>
          <w:sz w:val="28"/>
          <w:szCs w:val="28"/>
        </w:rPr>
        <w:t xml:space="preserve"> выявленных</w:t>
      </w:r>
      <w:r w:rsidRPr="00022ECA">
        <w:rPr>
          <w:rFonts w:eastAsia="Calibri"/>
          <w:sz w:val="28"/>
          <w:szCs w:val="28"/>
        </w:rPr>
        <w:t xml:space="preserve"> нарушений и недостатков</w:t>
      </w:r>
      <w:r>
        <w:rPr>
          <w:rFonts w:eastAsia="Calibri"/>
          <w:sz w:val="28"/>
          <w:szCs w:val="28"/>
        </w:rPr>
        <w:t>.</w:t>
      </w:r>
    </w:p>
    <w:p w:rsidR="00022ECA" w:rsidRPr="00022ECA" w:rsidRDefault="00022ECA" w:rsidP="0062792C">
      <w:pPr>
        <w:spacing w:before="120"/>
        <w:ind w:firstLine="567"/>
        <w:jc w:val="both"/>
        <w:rPr>
          <w:rFonts w:eastAsia="Calibri"/>
          <w:sz w:val="28"/>
          <w:szCs w:val="28"/>
        </w:rPr>
      </w:pPr>
      <w:r w:rsidRPr="00022ECA">
        <w:rPr>
          <w:rFonts w:eastAsia="Calibri"/>
          <w:sz w:val="28"/>
          <w:szCs w:val="28"/>
        </w:rPr>
        <w:t>В 2017 году Управлением культуры заключены и испол</w:t>
      </w:r>
      <w:r>
        <w:rPr>
          <w:rFonts w:eastAsia="Calibri"/>
          <w:sz w:val="28"/>
          <w:szCs w:val="28"/>
        </w:rPr>
        <w:t>н</w:t>
      </w:r>
      <w:r w:rsidRPr="00022ECA">
        <w:rPr>
          <w:rFonts w:eastAsia="Calibri"/>
          <w:sz w:val="28"/>
          <w:szCs w:val="28"/>
        </w:rPr>
        <w:t>ены контракты (договоры) на общую сумму 17 136 677,10 рублей (в том числе за счет средств, предусмотренных на 2018 год 1 354 055,84 рублей).</w:t>
      </w:r>
    </w:p>
    <w:p w:rsidR="0062792C" w:rsidRPr="0062792C" w:rsidRDefault="0062792C" w:rsidP="0062792C">
      <w:pPr>
        <w:spacing w:before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62792C">
        <w:rPr>
          <w:rFonts w:eastAsia="Calibri"/>
          <w:sz w:val="28"/>
          <w:szCs w:val="28"/>
        </w:rPr>
        <w:t>акупки товаров, работ, услуг для обеспечения муниципальных нужд производились Управлением культуры на основании утвержденных планов закупок и планов-графиков.</w:t>
      </w:r>
    </w:p>
    <w:p w:rsidR="0062792C" w:rsidRPr="0062792C" w:rsidRDefault="0062792C" w:rsidP="0062792C">
      <w:pPr>
        <w:ind w:firstLine="567"/>
        <w:jc w:val="both"/>
        <w:rPr>
          <w:rFonts w:eastAsia="Calibri"/>
          <w:iCs/>
          <w:sz w:val="28"/>
          <w:szCs w:val="28"/>
        </w:rPr>
      </w:pPr>
      <w:r w:rsidRPr="0062792C">
        <w:rPr>
          <w:rFonts w:eastAsia="Calibri"/>
          <w:iCs/>
          <w:sz w:val="28"/>
          <w:szCs w:val="28"/>
        </w:rPr>
        <w:t xml:space="preserve">В нарушение требований </w:t>
      </w:r>
      <w:r w:rsidRPr="0062792C">
        <w:rPr>
          <w:rFonts w:eastAsia="Calibri"/>
          <w:sz w:val="28"/>
          <w:szCs w:val="28"/>
        </w:rPr>
        <w:t>Федерального закона от 05.04.2013 № 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44-ФЗ),</w:t>
      </w:r>
      <w:r w:rsidRPr="0062792C">
        <w:rPr>
          <w:rFonts w:eastAsia="Calibri"/>
          <w:iCs/>
          <w:sz w:val="28"/>
          <w:szCs w:val="28"/>
        </w:rPr>
        <w:t xml:space="preserve"> информация об одной закупке, отраженная в плане-графике, не соответствует данным плана закупок, в части периода начала закупки.</w:t>
      </w:r>
    </w:p>
    <w:p w:rsidR="0062792C" w:rsidRPr="0062792C" w:rsidRDefault="0062792C" w:rsidP="0062792C">
      <w:pPr>
        <w:spacing w:before="120"/>
        <w:ind w:firstLine="567"/>
        <w:jc w:val="both"/>
        <w:rPr>
          <w:rFonts w:eastAsia="Calibri"/>
          <w:iCs/>
          <w:sz w:val="28"/>
          <w:szCs w:val="28"/>
        </w:rPr>
      </w:pPr>
      <w:r w:rsidRPr="0062792C">
        <w:rPr>
          <w:rFonts w:eastAsia="Calibri"/>
          <w:sz w:val="28"/>
          <w:szCs w:val="28"/>
        </w:rPr>
        <w:t>Управлением</w:t>
      </w:r>
      <w:r w:rsidRPr="0062792C">
        <w:rPr>
          <w:rFonts w:eastAsia="Calibri"/>
          <w:iCs/>
          <w:sz w:val="28"/>
          <w:szCs w:val="28"/>
        </w:rPr>
        <w:t xml:space="preserve"> культуры в 2017 году заключены 86 договоров у единственного поставщика (подрядчика, исполнителя) на общую сумму 2 694 677,1 рублей, что составляет </w:t>
      </w:r>
      <w:r w:rsidRPr="0062792C">
        <w:rPr>
          <w:rFonts w:eastAsia="Calibri"/>
          <w:sz w:val="28"/>
          <w:szCs w:val="28"/>
        </w:rPr>
        <w:t>15,7 процентов от общей суммы заключенных контрактов (договоров).</w:t>
      </w:r>
      <w:r>
        <w:rPr>
          <w:rFonts w:eastAsia="Calibri"/>
          <w:iCs/>
          <w:sz w:val="28"/>
          <w:szCs w:val="28"/>
        </w:rPr>
        <w:t xml:space="preserve"> </w:t>
      </w:r>
      <w:r w:rsidRPr="0062792C">
        <w:rPr>
          <w:rFonts w:eastAsia="Calibri"/>
          <w:iCs/>
          <w:sz w:val="28"/>
          <w:szCs w:val="28"/>
        </w:rPr>
        <w:t>Проверкой указанного способа определения поставщика нарушений требований Федерального закона № 44-ФЗ не установлено.</w:t>
      </w:r>
    </w:p>
    <w:p w:rsidR="0062792C" w:rsidRPr="0062792C" w:rsidRDefault="0062792C" w:rsidP="0062792C">
      <w:pPr>
        <w:spacing w:before="120"/>
        <w:ind w:firstLine="567"/>
        <w:jc w:val="both"/>
        <w:rPr>
          <w:rFonts w:eastAsia="Calibri"/>
          <w:iCs/>
          <w:sz w:val="28"/>
          <w:szCs w:val="28"/>
        </w:rPr>
      </w:pPr>
      <w:r w:rsidRPr="0062792C">
        <w:rPr>
          <w:rFonts w:eastAsia="Calibri"/>
          <w:iCs/>
          <w:sz w:val="28"/>
          <w:szCs w:val="28"/>
        </w:rPr>
        <w:t xml:space="preserve">В 2017 году осуществлено 5 закупок конкурентными способами </w:t>
      </w:r>
      <w:r w:rsidRPr="0062792C">
        <w:rPr>
          <w:rFonts w:eastAsia="Calibri"/>
          <w:sz w:val="28"/>
          <w:szCs w:val="28"/>
        </w:rPr>
        <w:t>на общую сумму 14 442 000,0 рублей, что составляет 84,3 процента от общей суммы заключенных контрактов (договоров)</w:t>
      </w:r>
      <w:r w:rsidRPr="0062792C">
        <w:rPr>
          <w:rFonts w:eastAsia="Calibri"/>
          <w:iCs/>
          <w:sz w:val="28"/>
          <w:szCs w:val="28"/>
        </w:rPr>
        <w:t>, в том числе: 2 запроса котировок, 2 электронных аукциона, 1 открытый конкурс.</w:t>
      </w:r>
    </w:p>
    <w:p w:rsidR="0062792C" w:rsidRDefault="0062792C" w:rsidP="0062792C">
      <w:pPr>
        <w:ind w:firstLine="567"/>
        <w:jc w:val="both"/>
        <w:rPr>
          <w:rFonts w:eastAsia="Calibri"/>
          <w:iCs/>
          <w:sz w:val="28"/>
          <w:szCs w:val="28"/>
        </w:rPr>
      </w:pPr>
      <w:r w:rsidRPr="0062792C">
        <w:rPr>
          <w:rFonts w:eastAsia="Calibri"/>
          <w:iCs/>
          <w:sz w:val="28"/>
          <w:szCs w:val="28"/>
        </w:rPr>
        <w:t>В нарушение требований Федерального закона № 44-ФЗ во всех пяти протоколах определения поставщика не отражен идентификационный код закупки.</w:t>
      </w:r>
    </w:p>
    <w:p w:rsidR="00C65F87" w:rsidRPr="0062792C" w:rsidRDefault="00C65F87" w:rsidP="00C65F87">
      <w:pPr>
        <w:ind w:firstLine="567"/>
        <w:jc w:val="both"/>
        <w:rPr>
          <w:rFonts w:eastAsia="Calibri"/>
          <w:iCs/>
          <w:sz w:val="28"/>
          <w:szCs w:val="28"/>
        </w:rPr>
      </w:pPr>
      <w:r w:rsidRPr="0062792C">
        <w:rPr>
          <w:rFonts w:eastAsia="Calibri"/>
          <w:iCs/>
          <w:sz w:val="28"/>
          <w:szCs w:val="28"/>
        </w:rPr>
        <w:t>Условия двух заключенных контрактов не соответствуют формулировке, установленной статьей 34 Федерального закона</w:t>
      </w:r>
      <w:r>
        <w:rPr>
          <w:rFonts w:eastAsia="Calibri"/>
          <w:iCs/>
          <w:sz w:val="28"/>
          <w:szCs w:val="28"/>
        </w:rPr>
        <w:t xml:space="preserve"> </w:t>
      </w:r>
      <w:r w:rsidRPr="0062792C">
        <w:rPr>
          <w:rFonts w:eastAsia="Calibri"/>
          <w:iCs/>
          <w:sz w:val="28"/>
          <w:szCs w:val="28"/>
        </w:rPr>
        <w:t>№ 44-ФЗ.</w:t>
      </w:r>
    </w:p>
    <w:p w:rsidR="0062792C" w:rsidRPr="0062792C" w:rsidRDefault="0062792C" w:rsidP="00C65F87">
      <w:pPr>
        <w:spacing w:before="120"/>
        <w:ind w:firstLine="567"/>
        <w:jc w:val="both"/>
        <w:rPr>
          <w:rFonts w:eastAsia="Calibri"/>
          <w:iCs/>
          <w:sz w:val="28"/>
          <w:szCs w:val="28"/>
        </w:rPr>
      </w:pPr>
      <w:r w:rsidRPr="0062792C">
        <w:rPr>
          <w:rFonts w:eastAsia="Calibri"/>
          <w:iCs/>
          <w:sz w:val="28"/>
          <w:szCs w:val="28"/>
        </w:rPr>
        <w:t xml:space="preserve">В нарушение требований </w:t>
      </w:r>
      <w:r w:rsidRPr="0062792C">
        <w:rPr>
          <w:rFonts w:eastAsia="Calibri"/>
          <w:i/>
          <w:iCs/>
          <w:sz w:val="28"/>
          <w:szCs w:val="28"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Pr="0062792C">
        <w:rPr>
          <w:rFonts w:eastAsia="Calibri"/>
          <w:iCs/>
          <w:sz w:val="28"/>
          <w:szCs w:val="28"/>
        </w:rPr>
        <w:t>, утвержденных приказом Минэкономразвития России от 02.10.2013 № 567, (далее – Методика № 567) запросы о предоставлении ценовой информации для расчета начальной (максимальной) цены контракта (далее – НМЦК) направлялись менее пяти поставщикам.</w:t>
      </w:r>
    </w:p>
    <w:p w:rsidR="00C65F87" w:rsidRDefault="00C65F87" w:rsidP="00C65F87">
      <w:pPr>
        <w:ind w:firstLine="567"/>
        <w:jc w:val="both"/>
        <w:rPr>
          <w:rFonts w:eastAsia="Calibri"/>
          <w:iCs/>
          <w:sz w:val="28"/>
          <w:szCs w:val="28"/>
        </w:rPr>
      </w:pPr>
      <w:r w:rsidRPr="0062792C">
        <w:rPr>
          <w:rFonts w:eastAsia="Calibri"/>
          <w:iCs/>
          <w:sz w:val="28"/>
          <w:szCs w:val="28"/>
        </w:rPr>
        <w:t>В нарушение требований Методики № 567 для расчета НМЦК двух из четырех закупок использовалась ценовая информация потенциальных поставщиков, не содержащая расчет цен товаров, работ, услуг.</w:t>
      </w:r>
    </w:p>
    <w:p w:rsidR="00C65F87" w:rsidRPr="0062792C" w:rsidRDefault="00C65F87" w:rsidP="00C65F87">
      <w:pPr>
        <w:ind w:firstLine="567"/>
        <w:jc w:val="both"/>
        <w:rPr>
          <w:rFonts w:eastAsia="Calibri"/>
          <w:sz w:val="28"/>
          <w:szCs w:val="28"/>
        </w:rPr>
      </w:pPr>
      <w:r w:rsidRPr="0062792C">
        <w:rPr>
          <w:rFonts w:eastAsia="Calibri"/>
          <w:sz w:val="28"/>
          <w:szCs w:val="28"/>
        </w:rPr>
        <w:lastRenderedPageBreak/>
        <w:t xml:space="preserve">В целях обеспечения эффективности закупок, </w:t>
      </w:r>
      <w:r>
        <w:rPr>
          <w:rFonts w:eastAsia="Calibri"/>
          <w:sz w:val="28"/>
          <w:szCs w:val="28"/>
        </w:rPr>
        <w:t xml:space="preserve">предложено </w:t>
      </w:r>
      <w:r w:rsidRPr="0062792C">
        <w:rPr>
          <w:rFonts w:eastAsia="Calibri"/>
          <w:sz w:val="28"/>
          <w:szCs w:val="28"/>
        </w:rPr>
        <w:t>руководствоваться методическими рекомендациями по применению методов определения начальной (максимальной) цены контакта, цены контракта, заключаемого с единственным поставщиком (подрядчиком, исполнителем).</w:t>
      </w:r>
    </w:p>
    <w:p w:rsidR="0062792C" w:rsidRDefault="0062792C" w:rsidP="00C65F87">
      <w:pPr>
        <w:spacing w:before="120"/>
        <w:ind w:firstLine="567"/>
        <w:jc w:val="both"/>
        <w:rPr>
          <w:rFonts w:eastAsia="Calibri"/>
          <w:iCs/>
          <w:sz w:val="28"/>
          <w:szCs w:val="28"/>
        </w:rPr>
      </w:pPr>
      <w:r w:rsidRPr="0062792C">
        <w:rPr>
          <w:rFonts w:eastAsia="Calibri"/>
          <w:iCs/>
          <w:sz w:val="28"/>
          <w:szCs w:val="28"/>
        </w:rPr>
        <w:t>При определении НМЦК по одной закупке установлен факт аффилированности участников, что свидетельствует о признаках согласованных действий между потенциальными исполнителями.</w:t>
      </w:r>
    </w:p>
    <w:p w:rsidR="00C65F87" w:rsidRPr="0062792C" w:rsidRDefault="00C65F87" w:rsidP="00C65F87">
      <w:pPr>
        <w:ind w:firstLine="567"/>
        <w:jc w:val="both"/>
        <w:rPr>
          <w:rFonts w:eastAsia="Calibri"/>
          <w:sz w:val="28"/>
          <w:szCs w:val="28"/>
        </w:rPr>
      </w:pPr>
      <w:r w:rsidRPr="0062792C">
        <w:rPr>
          <w:rFonts w:eastAsia="Calibri"/>
          <w:sz w:val="28"/>
          <w:szCs w:val="28"/>
        </w:rPr>
        <w:t>В целях предотвращения согласованных действий при определении начальной (максимальной) цены контракта по методу сопоставимых рыночных цен,</w:t>
      </w:r>
      <w:r>
        <w:rPr>
          <w:rFonts w:eastAsia="Calibri"/>
          <w:sz w:val="28"/>
          <w:szCs w:val="28"/>
        </w:rPr>
        <w:t xml:space="preserve"> предложено</w:t>
      </w:r>
      <w:r w:rsidRPr="0062792C">
        <w:rPr>
          <w:rFonts w:eastAsia="Calibri"/>
          <w:sz w:val="28"/>
          <w:szCs w:val="28"/>
        </w:rPr>
        <w:t xml:space="preserve"> осуществлять анализ потенциальных исполнителей на предмет их аффилированности.</w:t>
      </w:r>
    </w:p>
    <w:p w:rsidR="0062792C" w:rsidRDefault="0062792C" w:rsidP="00C65F87">
      <w:pPr>
        <w:spacing w:before="120"/>
        <w:ind w:firstLine="567"/>
        <w:jc w:val="both"/>
        <w:rPr>
          <w:rFonts w:eastAsia="Calibri"/>
          <w:iCs/>
          <w:sz w:val="28"/>
          <w:szCs w:val="28"/>
        </w:rPr>
      </w:pPr>
      <w:r w:rsidRPr="0062792C">
        <w:rPr>
          <w:rFonts w:eastAsia="Calibri"/>
          <w:iCs/>
          <w:sz w:val="28"/>
          <w:szCs w:val="28"/>
        </w:rPr>
        <w:t>Имущество, находящееся на балансе Управления культуры (137 объектов основных средств, составляющих новогоднюю иллюминацию), не соотносится с его функциями.</w:t>
      </w:r>
    </w:p>
    <w:p w:rsidR="00C65F87" w:rsidRDefault="00C65F87" w:rsidP="00C65F87">
      <w:pPr>
        <w:ind w:firstLine="567"/>
        <w:jc w:val="both"/>
        <w:rPr>
          <w:rFonts w:eastAsia="Calibri"/>
          <w:sz w:val="28"/>
          <w:szCs w:val="28"/>
        </w:rPr>
      </w:pPr>
      <w:r w:rsidRPr="0062792C">
        <w:rPr>
          <w:rFonts w:eastAsia="Calibri"/>
          <w:sz w:val="28"/>
          <w:szCs w:val="28"/>
        </w:rPr>
        <w:t xml:space="preserve">В целях обеспечения эффективного управления и распоряжения имуществом, </w:t>
      </w:r>
      <w:r>
        <w:rPr>
          <w:rFonts w:eastAsia="Calibri"/>
          <w:sz w:val="28"/>
          <w:szCs w:val="28"/>
        </w:rPr>
        <w:t xml:space="preserve">предложено </w:t>
      </w:r>
      <w:r w:rsidRPr="0062792C">
        <w:rPr>
          <w:rFonts w:eastAsia="Calibri"/>
          <w:sz w:val="28"/>
          <w:szCs w:val="28"/>
        </w:rPr>
        <w:t>рассмотреть вопрос о передаче объектов основных средств, составляющих новогоднюю иллюминацию, на балан</w:t>
      </w:r>
      <w:bookmarkStart w:id="0" w:name="_GoBack"/>
      <w:bookmarkEnd w:id="0"/>
      <w:r w:rsidRPr="0062792C">
        <w:rPr>
          <w:rFonts w:eastAsia="Calibri"/>
          <w:sz w:val="28"/>
          <w:szCs w:val="28"/>
        </w:rPr>
        <w:t>с отраслевого (функционального) органа администрации (учреждения, предприятия) в функции которого входит обслуживание объектов благоустройства города.</w:t>
      </w:r>
    </w:p>
    <w:p w:rsidR="0062792C" w:rsidRPr="0062792C" w:rsidRDefault="0062792C" w:rsidP="0062792C">
      <w:pPr>
        <w:spacing w:before="12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При анализе целесообразности и эффективности осуществляемых закупок установлено, что </w:t>
      </w:r>
      <w:r w:rsidRPr="0062792C">
        <w:rPr>
          <w:rFonts w:eastAsia="Calibri"/>
          <w:iCs/>
          <w:sz w:val="28"/>
          <w:szCs w:val="28"/>
        </w:rPr>
        <w:t xml:space="preserve">Управление культуры осуществляет политику в области культуры, искусства, дополнительного образования, туризма и национальной политики. Указанные полномочия осуществляются путем реализации основных мероприятий Муниципальной программы МО ГО "Сыктывкар" "Развитие культуры, физической культуры и спорта", утвержденной постановлением администрации МО ГО "Сыктывкар" </w:t>
      </w:r>
      <w:r w:rsidRPr="0062792C">
        <w:rPr>
          <w:rFonts w:eastAsia="Calibri"/>
          <w:sz w:val="28"/>
          <w:szCs w:val="28"/>
        </w:rPr>
        <w:t>от 25.12.2013 № 12/4977.</w:t>
      </w:r>
      <w:r w:rsidR="00F47C95">
        <w:rPr>
          <w:rFonts w:eastAsia="Calibri"/>
          <w:sz w:val="28"/>
          <w:szCs w:val="28"/>
        </w:rPr>
        <w:t xml:space="preserve"> </w:t>
      </w:r>
      <w:r w:rsidRPr="0062792C">
        <w:rPr>
          <w:rFonts w:eastAsia="Calibri"/>
          <w:iCs/>
          <w:sz w:val="28"/>
          <w:szCs w:val="28"/>
        </w:rPr>
        <w:t>В проверяемом периоде экономический эффект в результате применения конкурентных способов составил 78 680,26 рублей, или 0,46 процента от НМЦК.</w:t>
      </w:r>
    </w:p>
    <w:p w:rsidR="00C65F87" w:rsidRDefault="00C65F87">
      <w:pPr>
        <w:ind w:firstLine="533"/>
        <w:jc w:val="both"/>
        <w:rPr>
          <w:rFonts w:eastAsia="Calibri"/>
          <w:sz w:val="28"/>
          <w:szCs w:val="28"/>
        </w:rPr>
      </w:pPr>
    </w:p>
    <w:sectPr w:rsidR="00C65F87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58" w:rsidRDefault="00F90A58" w:rsidP="009A74D1">
      <w:r>
        <w:separator/>
      </w:r>
    </w:p>
  </w:endnote>
  <w:endnote w:type="continuationSeparator" w:id="0">
    <w:p w:rsidR="00F90A58" w:rsidRDefault="00F90A58" w:rsidP="009A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58" w:rsidRDefault="00F90A58" w:rsidP="009A74D1">
      <w:r>
        <w:separator/>
      </w:r>
    </w:p>
  </w:footnote>
  <w:footnote w:type="continuationSeparator" w:id="0">
    <w:p w:rsidR="00F90A58" w:rsidRDefault="00F90A58" w:rsidP="009A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59E"/>
    <w:multiLevelType w:val="multilevel"/>
    <w:tmpl w:val="A3F6AC9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197F4F50"/>
    <w:multiLevelType w:val="hybridMultilevel"/>
    <w:tmpl w:val="5ED4533E"/>
    <w:lvl w:ilvl="0" w:tplc="8DC8C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EC5FFF"/>
    <w:multiLevelType w:val="multilevel"/>
    <w:tmpl w:val="CF580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F0E3758"/>
    <w:multiLevelType w:val="hybridMultilevel"/>
    <w:tmpl w:val="58286AEC"/>
    <w:lvl w:ilvl="0" w:tplc="F930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956F9"/>
    <w:multiLevelType w:val="hybridMultilevel"/>
    <w:tmpl w:val="D592D7F0"/>
    <w:lvl w:ilvl="0" w:tplc="B2480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BD1FBE"/>
    <w:multiLevelType w:val="multilevel"/>
    <w:tmpl w:val="D9507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CB671BE"/>
    <w:multiLevelType w:val="multilevel"/>
    <w:tmpl w:val="752C8584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0" w:hanging="1800"/>
      </w:pPr>
      <w:rPr>
        <w:rFonts w:hint="default"/>
      </w:rPr>
    </w:lvl>
  </w:abstractNum>
  <w:abstractNum w:abstractNumId="7" w15:restartNumberingAfterBreak="0">
    <w:nsid w:val="5E8C6A62"/>
    <w:multiLevelType w:val="multilevel"/>
    <w:tmpl w:val="65A6E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565FE"/>
    <w:multiLevelType w:val="hybridMultilevel"/>
    <w:tmpl w:val="2E467D68"/>
    <w:lvl w:ilvl="0" w:tplc="600AD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01804"/>
    <w:rsid w:val="000059FA"/>
    <w:rsid w:val="00022ECA"/>
    <w:rsid w:val="000253B7"/>
    <w:rsid w:val="000408BB"/>
    <w:rsid w:val="0006079D"/>
    <w:rsid w:val="0006211C"/>
    <w:rsid w:val="00072F93"/>
    <w:rsid w:val="00072FF0"/>
    <w:rsid w:val="00073FE7"/>
    <w:rsid w:val="00082374"/>
    <w:rsid w:val="000848A0"/>
    <w:rsid w:val="00084BE6"/>
    <w:rsid w:val="00086C47"/>
    <w:rsid w:val="0009174E"/>
    <w:rsid w:val="000E56CF"/>
    <w:rsid w:val="001124B0"/>
    <w:rsid w:val="00112D6F"/>
    <w:rsid w:val="00117B1E"/>
    <w:rsid w:val="00122764"/>
    <w:rsid w:val="00126CF9"/>
    <w:rsid w:val="00127465"/>
    <w:rsid w:val="00133D4C"/>
    <w:rsid w:val="00134001"/>
    <w:rsid w:val="001646AF"/>
    <w:rsid w:val="00173368"/>
    <w:rsid w:val="00175E06"/>
    <w:rsid w:val="001807C9"/>
    <w:rsid w:val="00183A09"/>
    <w:rsid w:val="0019679F"/>
    <w:rsid w:val="001B5829"/>
    <w:rsid w:val="001C22CD"/>
    <w:rsid w:val="001C2EE9"/>
    <w:rsid w:val="001D212B"/>
    <w:rsid w:val="001D7B34"/>
    <w:rsid w:val="001E2DF8"/>
    <w:rsid w:val="001E4219"/>
    <w:rsid w:val="001E4491"/>
    <w:rsid w:val="001E621F"/>
    <w:rsid w:val="001F3326"/>
    <w:rsid w:val="001F6822"/>
    <w:rsid w:val="00205373"/>
    <w:rsid w:val="00214DCA"/>
    <w:rsid w:val="00217BDF"/>
    <w:rsid w:val="00223523"/>
    <w:rsid w:val="00230A21"/>
    <w:rsid w:val="002541B6"/>
    <w:rsid w:val="002649AB"/>
    <w:rsid w:val="00275F78"/>
    <w:rsid w:val="00282121"/>
    <w:rsid w:val="00287D92"/>
    <w:rsid w:val="002A4EF1"/>
    <w:rsid w:val="002B13E9"/>
    <w:rsid w:val="002B2458"/>
    <w:rsid w:val="002B5437"/>
    <w:rsid w:val="002C26AB"/>
    <w:rsid w:val="002D0600"/>
    <w:rsid w:val="002D1472"/>
    <w:rsid w:val="002D6962"/>
    <w:rsid w:val="002E15A9"/>
    <w:rsid w:val="002E5EDB"/>
    <w:rsid w:val="002F26AD"/>
    <w:rsid w:val="00300137"/>
    <w:rsid w:val="003019E0"/>
    <w:rsid w:val="0030262B"/>
    <w:rsid w:val="00304E92"/>
    <w:rsid w:val="003066E8"/>
    <w:rsid w:val="003123EF"/>
    <w:rsid w:val="00312716"/>
    <w:rsid w:val="00330266"/>
    <w:rsid w:val="0034353E"/>
    <w:rsid w:val="00351073"/>
    <w:rsid w:val="003526EF"/>
    <w:rsid w:val="00377026"/>
    <w:rsid w:val="00394928"/>
    <w:rsid w:val="003A4C4D"/>
    <w:rsid w:val="003A594A"/>
    <w:rsid w:val="003A5E91"/>
    <w:rsid w:val="003A79D9"/>
    <w:rsid w:val="003C31D6"/>
    <w:rsid w:val="003C3781"/>
    <w:rsid w:val="003C3B8D"/>
    <w:rsid w:val="003C7557"/>
    <w:rsid w:val="003D2D1D"/>
    <w:rsid w:val="003E5C28"/>
    <w:rsid w:val="0041005C"/>
    <w:rsid w:val="004206FF"/>
    <w:rsid w:val="00423928"/>
    <w:rsid w:val="00430139"/>
    <w:rsid w:val="004312DD"/>
    <w:rsid w:val="00436281"/>
    <w:rsid w:val="004378A4"/>
    <w:rsid w:val="00445749"/>
    <w:rsid w:val="004461D9"/>
    <w:rsid w:val="00454579"/>
    <w:rsid w:val="00461EE1"/>
    <w:rsid w:val="004969F5"/>
    <w:rsid w:val="004A0CAB"/>
    <w:rsid w:val="004A1929"/>
    <w:rsid w:val="004B25B1"/>
    <w:rsid w:val="004C2B34"/>
    <w:rsid w:val="004E33F1"/>
    <w:rsid w:val="004E54AB"/>
    <w:rsid w:val="004F0632"/>
    <w:rsid w:val="005049E4"/>
    <w:rsid w:val="00513756"/>
    <w:rsid w:val="00515D2C"/>
    <w:rsid w:val="00520589"/>
    <w:rsid w:val="0052102C"/>
    <w:rsid w:val="00531AB9"/>
    <w:rsid w:val="0053245A"/>
    <w:rsid w:val="0053488B"/>
    <w:rsid w:val="00541B96"/>
    <w:rsid w:val="0054333E"/>
    <w:rsid w:val="00547608"/>
    <w:rsid w:val="005502C0"/>
    <w:rsid w:val="00562523"/>
    <w:rsid w:val="00570428"/>
    <w:rsid w:val="005704E1"/>
    <w:rsid w:val="0059364F"/>
    <w:rsid w:val="005A57F3"/>
    <w:rsid w:val="005A5ACE"/>
    <w:rsid w:val="005B03E6"/>
    <w:rsid w:val="005B32D1"/>
    <w:rsid w:val="005B5E02"/>
    <w:rsid w:val="005D11F8"/>
    <w:rsid w:val="006010FE"/>
    <w:rsid w:val="0061133D"/>
    <w:rsid w:val="00626905"/>
    <w:rsid w:val="0062792C"/>
    <w:rsid w:val="00640620"/>
    <w:rsid w:val="00660995"/>
    <w:rsid w:val="00666634"/>
    <w:rsid w:val="006711C7"/>
    <w:rsid w:val="0068419B"/>
    <w:rsid w:val="00694C10"/>
    <w:rsid w:val="006B6740"/>
    <w:rsid w:val="006C7821"/>
    <w:rsid w:val="006D04F6"/>
    <w:rsid w:val="006E599F"/>
    <w:rsid w:val="00700CC5"/>
    <w:rsid w:val="0070389E"/>
    <w:rsid w:val="00715F4B"/>
    <w:rsid w:val="0072704A"/>
    <w:rsid w:val="0074135D"/>
    <w:rsid w:val="0074228E"/>
    <w:rsid w:val="00750845"/>
    <w:rsid w:val="007516A0"/>
    <w:rsid w:val="00760923"/>
    <w:rsid w:val="00777718"/>
    <w:rsid w:val="007A26A7"/>
    <w:rsid w:val="007C3F26"/>
    <w:rsid w:val="007C69CE"/>
    <w:rsid w:val="007D65EE"/>
    <w:rsid w:val="007E392C"/>
    <w:rsid w:val="007F41B2"/>
    <w:rsid w:val="008010E9"/>
    <w:rsid w:val="008046FB"/>
    <w:rsid w:val="00814D93"/>
    <w:rsid w:val="00815E7A"/>
    <w:rsid w:val="00820A44"/>
    <w:rsid w:val="0083072A"/>
    <w:rsid w:val="00834B94"/>
    <w:rsid w:val="00843198"/>
    <w:rsid w:val="00852955"/>
    <w:rsid w:val="00856A50"/>
    <w:rsid w:val="00861E05"/>
    <w:rsid w:val="00864AD0"/>
    <w:rsid w:val="00870E2F"/>
    <w:rsid w:val="008A19E3"/>
    <w:rsid w:val="008B5987"/>
    <w:rsid w:val="008C230F"/>
    <w:rsid w:val="008D78ED"/>
    <w:rsid w:val="008E4599"/>
    <w:rsid w:val="008E6685"/>
    <w:rsid w:val="008F115B"/>
    <w:rsid w:val="00912D1D"/>
    <w:rsid w:val="00913E9B"/>
    <w:rsid w:val="009145F7"/>
    <w:rsid w:val="00916390"/>
    <w:rsid w:val="00926A04"/>
    <w:rsid w:val="00932F25"/>
    <w:rsid w:val="00940038"/>
    <w:rsid w:val="009433C4"/>
    <w:rsid w:val="009504B1"/>
    <w:rsid w:val="00962AF8"/>
    <w:rsid w:val="00970E51"/>
    <w:rsid w:val="00987082"/>
    <w:rsid w:val="009A1FF0"/>
    <w:rsid w:val="009A3C7A"/>
    <w:rsid w:val="009A74D1"/>
    <w:rsid w:val="009B0AFF"/>
    <w:rsid w:val="009B535B"/>
    <w:rsid w:val="009C26BC"/>
    <w:rsid w:val="009C4908"/>
    <w:rsid w:val="009C4A95"/>
    <w:rsid w:val="00A03722"/>
    <w:rsid w:val="00A06C79"/>
    <w:rsid w:val="00A12BF9"/>
    <w:rsid w:val="00A140C3"/>
    <w:rsid w:val="00A163C5"/>
    <w:rsid w:val="00A26429"/>
    <w:rsid w:val="00A44718"/>
    <w:rsid w:val="00A51B78"/>
    <w:rsid w:val="00A62571"/>
    <w:rsid w:val="00A6735B"/>
    <w:rsid w:val="00A70B27"/>
    <w:rsid w:val="00A71328"/>
    <w:rsid w:val="00A72383"/>
    <w:rsid w:val="00A730CF"/>
    <w:rsid w:val="00A7661C"/>
    <w:rsid w:val="00A76E75"/>
    <w:rsid w:val="00A7755C"/>
    <w:rsid w:val="00AA1938"/>
    <w:rsid w:val="00AB3737"/>
    <w:rsid w:val="00AB3E8F"/>
    <w:rsid w:val="00AB7956"/>
    <w:rsid w:val="00AC09C9"/>
    <w:rsid w:val="00AD05CC"/>
    <w:rsid w:val="00B001A3"/>
    <w:rsid w:val="00B00891"/>
    <w:rsid w:val="00B01488"/>
    <w:rsid w:val="00B01C96"/>
    <w:rsid w:val="00B02523"/>
    <w:rsid w:val="00B03812"/>
    <w:rsid w:val="00B05E69"/>
    <w:rsid w:val="00B2206D"/>
    <w:rsid w:val="00B32F4A"/>
    <w:rsid w:val="00B33907"/>
    <w:rsid w:val="00B33DB3"/>
    <w:rsid w:val="00B42332"/>
    <w:rsid w:val="00B50463"/>
    <w:rsid w:val="00B523B9"/>
    <w:rsid w:val="00B523F1"/>
    <w:rsid w:val="00B61034"/>
    <w:rsid w:val="00B64F96"/>
    <w:rsid w:val="00B6784E"/>
    <w:rsid w:val="00B72BF2"/>
    <w:rsid w:val="00B851C1"/>
    <w:rsid w:val="00B900CB"/>
    <w:rsid w:val="00BA5B10"/>
    <w:rsid w:val="00BA72D4"/>
    <w:rsid w:val="00BB261E"/>
    <w:rsid w:val="00BB50BC"/>
    <w:rsid w:val="00BC5B73"/>
    <w:rsid w:val="00BC6BD0"/>
    <w:rsid w:val="00BD5BCD"/>
    <w:rsid w:val="00BE7901"/>
    <w:rsid w:val="00C23E99"/>
    <w:rsid w:val="00C27005"/>
    <w:rsid w:val="00C43FF7"/>
    <w:rsid w:val="00C65F87"/>
    <w:rsid w:val="00C700BF"/>
    <w:rsid w:val="00C707F9"/>
    <w:rsid w:val="00C7207F"/>
    <w:rsid w:val="00C8791C"/>
    <w:rsid w:val="00C94029"/>
    <w:rsid w:val="00CA777C"/>
    <w:rsid w:val="00CC2600"/>
    <w:rsid w:val="00CD79B2"/>
    <w:rsid w:val="00CE1FCE"/>
    <w:rsid w:val="00CF20E1"/>
    <w:rsid w:val="00D130BB"/>
    <w:rsid w:val="00D21BDD"/>
    <w:rsid w:val="00D23729"/>
    <w:rsid w:val="00D25F65"/>
    <w:rsid w:val="00D344E4"/>
    <w:rsid w:val="00D3639B"/>
    <w:rsid w:val="00D43725"/>
    <w:rsid w:val="00D44F3A"/>
    <w:rsid w:val="00D503FD"/>
    <w:rsid w:val="00D53CDA"/>
    <w:rsid w:val="00D60245"/>
    <w:rsid w:val="00D94266"/>
    <w:rsid w:val="00DB559E"/>
    <w:rsid w:val="00DB6086"/>
    <w:rsid w:val="00DB60BA"/>
    <w:rsid w:val="00DE5C9F"/>
    <w:rsid w:val="00DF0851"/>
    <w:rsid w:val="00DF5AF7"/>
    <w:rsid w:val="00E15F2C"/>
    <w:rsid w:val="00E379BD"/>
    <w:rsid w:val="00E42D80"/>
    <w:rsid w:val="00E474FE"/>
    <w:rsid w:val="00E53E60"/>
    <w:rsid w:val="00E80570"/>
    <w:rsid w:val="00E8396A"/>
    <w:rsid w:val="00E84533"/>
    <w:rsid w:val="00E924A6"/>
    <w:rsid w:val="00E976AF"/>
    <w:rsid w:val="00EB0FE8"/>
    <w:rsid w:val="00EF14C1"/>
    <w:rsid w:val="00F011DB"/>
    <w:rsid w:val="00F14BE1"/>
    <w:rsid w:val="00F14CC6"/>
    <w:rsid w:val="00F237FB"/>
    <w:rsid w:val="00F42A93"/>
    <w:rsid w:val="00F43D2B"/>
    <w:rsid w:val="00F47C95"/>
    <w:rsid w:val="00F52982"/>
    <w:rsid w:val="00F770E1"/>
    <w:rsid w:val="00F814D0"/>
    <w:rsid w:val="00F90A58"/>
    <w:rsid w:val="00F92EDA"/>
    <w:rsid w:val="00FB490A"/>
    <w:rsid w:val="00FB53CD"/>
    <w:rsid w:val="00FC6FE8"/>
    <w:rsid w:val="00FD1B90"/>
    <w:rsid w:val="00FE3F5B"/>
    <w:rsid w:val="00FE4FAE"/>
    <w:rsid w:val="00FF0684"/>
    <w:rsid w:val="00FF30A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5BF4E-EA0F-4AAF-BBE9-0CBB7CE5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footer"/>
    <w:basedOn w:val="a"/>
    <w:link w:val="a8"/>
    <w:uiPriority w:val="99"/>
    <w:unhideWhenUsed/>
    <w:rsid w:val="009A7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4D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A74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39D6-F2B1-4527-80D3-5783B55E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КСП-АлТем</cp:lastModifiedBy>
  <cp:revision>7</cp:revision>
  <cp:lastPrinted>2018-10-22T11:25:00Z</cp:lastPrinted>
  <dcterms:created xsi:type="dcterms:W3CDTF">2018-10-18T10:32:00Z</dcterms:created>
  <dcterms:modified xsi:type="dcterms:W3CDTF">2018-11-13T11:11:00Z</dcterms:modified>
</cp:coreProperties>
</file>