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</w:t>
      </w:r>
      <w:r w:rsidR="00287062">
        <w:rPr>
          <w:sz w:val="28"/>
          <w:szCs w:val="28"/>
        </w:rPr>
        <w:t>1</w:t>
      </w:r>
      <w:r w:rsidR="007F19B4">
        <w:rPr>
          <w:sz w:val="28"/>
          <w:szCs w:val="28"/>
        </w:rPr>
        <w:t>1</w:t>
      </w:r>
      <w:bookmarkStart w:id="0" w:name="_GoBack"/>
      <w:bookmarkEnd w:id="0"/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8"/>
      </w:tblGrid>
      <w:tr w:rsidR="00F66C26" w:rsidRPr="00606683" w:rsidTr="00884874">
        <w:trPr>
          <w:trHeight w:val="4"/>
        </w:trPr>
        <w:tc>
          <w:tcPr>
            <w:tcW w:w="9488" w:type="dxa"/>
          </w:tcPr>
          <w:p w:rsidR="0005109D" w:rsidRPr="003334C3" w:rsidRDefault="002A764B" w:rsidP="00884874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r w:rsidRPr="002A764B">
              <w:rPr>
                <w:sz w:val="28"/>
                <w:szCs w:val="28"/>
              </w:rPr>
              <w:t>О досрочном прекращении полномочий заместителя председателя постоянной комиссии по бюджету, налогам и экономическому развитию Совета муниципального образования городского округа «Сыктывкар» Рудакова Владимира Валерьевича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2A764B" w:rsidRPr="002A764B" w:rsidRDefault="002A764B" w:rsidP="002A76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64B">
        <w:rPr>
          <w:sz w:val="28"/>
          <w:szCs w:val="28"/>
        </w:rPr>
        <w:t>Руководствуясь статьей 33 Устава муниципального образования городского округа «Сыктывкар», статьей 22 Регламента работы Совета муниципального образования городского округа «Сыктывк</w:t>
      </w:r>
      <w:r w:rsidR="005C77BF">
        <w:rPr>
          <w:sz w:val="28"/>
          <w:szCs w:val="28"/>
        </w:rPr>
        <w:t>ар», рассмотрев личное заявление</w:t>
      </w:r>
      <w:r w:rsidRPr="002A764B">
        <w:rPr>
          <w:sz w:val="28"/>
          <w:szCs w:val="28"/>
        </w:rPr>
        <w:t xml:space="preserve"> депутата Совета муниципального образования городского округа «Сыктывкар» Рудакова Владимира Валерьевича,</w:t>
      </w:r>
    </w:p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2A764B" w:rsidRPr="002A764B" w:rsidRDefault="002A764B" w:rsidP="002A76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64B">
        <w:rPr>
          <w:bCs/>
          <w:sz w:val="28"/>
          <w:szCs w:val="28"/>
        </w:rPr>
        <w:t xml:space="preserve">1. </w:t>
      </w:r>
      <w:r w:rsidRPr="002A764B">
        <w:rPr>
          <w:sz w:val="28"/>
          <w:szCs w:val="28"/>
        </w:rPr>
        <w:t xml:space="preserve">Прекратить досрочно полномочия заместителя председателя постоянной комиссии по бюджету, налогам и экономическому развитию Совета муниципального образования городского округа «Сыктывкар» пятого созыва (2015-2020 годы), осуществляющего полномочия на непостоянной основе, Рудакова Владимира Валерьевича. </w:t>
      </w:r>
    </w:p>
    <w:p w:rsidR="002A764B" w:rsidRPr="002A764B" w:rsidRDefault="002A764B" w:rsidP="002A76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64B">
        <w:rPr>
          <w:sz w:val="28"/>
          <w:szCs w:val="28"/>
        </w:rPr>
        <w:t>2. Настоящее решение вступает в силу со дня его принятия.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B6454C"/>
    <w:multiLevelType w:val="hybridMultilevel"/>
    <w:tmpl w:val="605898D4"/>
    <w:lvl w:ilvl="0" w:tplc="5644E87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17A5E"/>
    <w:rsid w:val="00034E6E"/>
    <w:rsid w:val="000363E9"/>
    <w:rsid w:val="000410E9"/>
    <w:rsid w:val="0005109D"/>
    <w:rsid w:val="00105354"/>
    <w:rsid w:val="0018462A"/>
    <w:rsid w:val="00197597"/>
    <w:rsid w:val="001F076A"/>
    <w:rsid w:val="001F137C"/>
    <w:rsid w:val="0022453D"/>
    <w:rsid w:val="00287062"/>
    <w:rsid w:val="002A764B"/>
    <w:rsid w:val="002B25D8"/>
    <w:rsid w:val="003334C3"/>
    <w:rsid w:val="00380B17"/>
    <w:rsid w:val="00393068"/>
    <w:rsid w:val="004279EB"/>
    <w:rsid w:val="00487E56"/>
    <w:rsid w:val="004C75BA"/>
    <w:rsid w:val="004F0FD7"/>
    <w:rsid w:val="005743B4"/>
    <w:rsid w:val="005B1F39"/>
    <w:rsid w:val="005C6D69"/>
    <w:rsid w:val="005C77BF"/>
    <w:rsid w:val="005F6794"/>
    <w:rsid w:val="00606683"/>
    <w:rsid w:val="00652CA2"/>
    <w:rsid w:val="0066297E"/>
    <w:rsid w:val="007149E8"/>
    <w:rsid w:val="0073201A"/>
    <w:rsid w:val="007453BF"/>
    <w:rsid w:val="007B3940"/>
    <w:rsid w:val="007C19FB"/>
    <w:rsid w:val="007F19B4"/>
    <w:rsid w:val="008368EF"/>
    <w:rsid w:val="00866E92"/>
    <w:rsid w:val="008766BF"/>
    <w:rsid w:val="00884874"/>
    <w:rsid w:val="008D7EB7"/>
    <w:rsid w:val="009017A1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37</cp:revision>
  <cp:lastPrinted>2019-10-31T14:19:00Z</cp:lastPrinted>
  <dcterms:created xsi:type="dcterms:W3CDTF">2019-09-26T11:47:00Z</dcterms:created>
  <dcterms:modified xsi:type="dcterms:W3CDTF">2019-10-31T14:19:00Z</dcterms:modified>
</cp:coreProperties>
</file>