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75" w:rsidRPr="006E04EF" w:rsidRDefault="008C5B75" w:rsidP="006E04EF">
      <w:pPr>
        <w:ind w:firstLine="709"/>
        <w:jc w:val="center"/>
        <w:rPr>
          <w:sz w:val="28"/>
          <w:szCs w:val="28"/>
        </w:rPr>
      </w:pPr>
      <w:r w:rsidRPr="006E04EF">
        <w:rPr>
          <w:rFonts w:eastAsia="Calibri"/>
          <w:spacing w:val="-8"/>
          <w:sz w:val="28"/>
          <w:szCs w:val="28"/>
        </w:rPr>
        <w:t xml:space="preserve">О результатах </w:t>
      </w:r>
      <w:r w:rsidR="003E27F3">
        <w:rPr>
          <w:rFonts w:eastAsia="Calibri"/>
          <w:spacing w:val="-8"/>
          <w:sz w:val="28"/>
          <w:szCs w:val="28"/>
        </w:rPr>
        <w:t>экспертизы</w:t>
      </w:r>
      <w:r w:rsidR="006E04EF" w:rsidRPr="006E04EF">
        <w:rPr>
          <w:rFonts w:eastAsia="Calibri"/>
          <w:spacing w:val="-8"/>
          <w:sz w:val="28"/>
          <w:szCs w:val="28"/>
        </w:rPr>
        <w:t xml:space="preserve"> муниципальной программы МО ГО "Сыктывкар" "Разви</w:t>
      </w:r>
      <w:r w:rsidR="003E27F3">
        <w:rPr>
          <w:rFonts w:eastAsia="Calibri"/>
          <w:spacing w:val="-8"/>
          <w:sz w:val="28"/>
          <w:szCs w:val="28"/>
        </w:rPr>
        <w:t>тие современной городской среды</w:t>
      </w:r>
      <w:r w:rsidR="006E04EF" w:rsidRPr="006E04EF">
        <w:rPr>
          <w:rFonts w:eastAsia="Calibri"/>
          <w:spacing w:val="-8"/>
          <w:sz w:val="28"/>
          <w:szCs w:val="28"/>
        </w:rPr>
        <w:t>"</w:t>
      </w:r>
    </w:p>
    <w:p w:rsidR="00772843" w:rsidRDefault="00772843" w:rsidP="00BA6C52">
      <w:pPr>
        <w:spacing w:before="120"/>
        <w:ind w:firstLine="709"/>
        <w:jc w:val="both"/>
        <w:rPr>
          <w:rFonts w:eastAsia="Calibri"/>
          <w:spacing w:val="-8"/>
          <w:sz w:val="28"/>
          <w:szCs w:val="28"/>
        </w:rPr>
      </w:pPr>
      <w:r w:rsidRPr="006E04EF">
        <w:rPr>
          <w:sz w:val="28"/>
          <w:szCs w:val="28"/>
        </w:rPr>
        <w:t>В соответствии с планом работы на 20</w:t>
      </w:r>
      <w:r w:rsidR="003E27F3">
        <w:rPr>
          <w:sz w:val="28"/>
          <w:szCs w:val="28"/>
        </w:rPr>
        <w:t>20</w:t>
      </w:r>
      <w:r w:rsidRPr="006E04EF">
        <w:rPr>
          <w:sz w:val="28"/>
          <w:szCs w:val="28"/>
        </w:rPr>
        <w:t xml:space="preserve"> год Контрольно-счетной палатой муниципального образования городского округа "Сыктывкар" проведена </w:t>
      </w:r>
      <w:r w:rsidR="003E27F3">
        <w:rPr>
          <w:sz w:val="28"/>
          <w:szCs w:val="28"/>
        </w:rPr>
        <w:t>экспертиза</w:t>
      </w:r>
      <w:r w:rsidR="006E04EF" w:rsidRPr="006E04EF">
        <w:rPr>
          <w:rFonts w:eastAsia="Calibri"/>
          <w:spacing w:val="-8"/>
          <w:sz w:val="28"/>
          <w:szCs w:val="28"/>
        </w:rPr>
        <w:t xml:space="preserve"> муниципальной программы МО ГО "Сыктывкар" </w:t>
      </w:r>
      <w:r w:rsidR="003E27F3">
        <w:rPr>
          <w:rFonts w:eastAsia="Calibri"/>
          <w:spacing w:val="-8"/>
          <w:sz w:val="28"/>
          <w:szCs w:val="28"/>
        </w:rPr>
        <w:t>"Развитие современной городской</w:t>
      </w:r>
      <w:r w:rsidR="006E04EF" w:rsidRPr="006E04EF">
        <w:rPr>
          <w:rFonts w:eastAsia="Calibri"/>
          <w:spacing w:val="-8"/>
          <w:sz w:val="28"/>
          <w:szCs w:val="28"/>
        </w:rPr>
        <w:t>"</w:t>
      </w:r>
      <w:r w:rsidR="00A337B4">
        <w:rPr>
          <w:rFonts w:eastAsia="Calibri"/>
          <w:spacing w:val="-8"/>
          <w:sz w:val="28"/>
          <w:szCs w:val="28"/>
        </w:rPr>
        <w:t xml:space="preserve"> (далее – Программа)</w:t>
      </w:r>
      <w:r w:rsidR="004739D9" w:rsidRPr="006E04EF">
        <w:rPr>
          <w:rFonts w:eastAsia="Calibri"/>
          <w:spacing w:val="-8"/>
          <w:sz w:val="28"/>
          <w:szCs w:val="28"/>
        </w:rPr>
        <w:t>.</w:t>
      </w:r>
    </w:p>
    <w:p w:rsidR="00611C42" w:rsidRPr="006E04EF" w:rsidRDefault="00611C42" w:rsidP="00BA6C52">
      <w:pPr>
        <w:spacing w:before="120"/>
        <w:ind w:firstLine="709"/>
        <w:jc w:val="both"/>
        <w:rPr>
          <w:rFonts w:eastAsia="Calibri"/>
          <w:spacing w:val="-8"/>
          <w:sz w:val="28"/>
          <w:szCs w:val="28"/>
        </w:rPr>
      </w:pPr>
      <w:r>
        <w:rPr>
          <w:rFonts w:eastAsia="Calibri"/>
          <w:spacing w:val="-8"/>
          <w:sz w:val="28"/>
          <w:szCs w:val="28"/>
        </w:rPr>
        <w:t>По итогам проведенной экспертизы подготовлено заключение, в котором отражены замечания, даны соответствующие рекомендации.</w:t>
      </w:r>
    </w:p>
    <w:p w:rsidR="006E04EF" w:rsidRDefault="006E04EF" w:rsidP="009469D7">
      <w:pPr>
        <w:pStyle w:val="af4"/>
        <w:spacing w:before="120"/>
        <w:ind w:left="0" w:firstLine="709"/>
        <w:jc w:val="both"/>
        <w:rPr>
          <w:spacing w:val="-8"/>
          <w:sz w:val="28"/>
          <w:szCs w:val="28"/>
        </w:rPr>
      </w:pPr>
      <w:r w:rsidRPr="006E04EF">
        <w:rPr>
          <w:spacing w:val="-8"/>
          <w:sz w:val="28"/>
          <w:szCs w:val="28"/>
        </w:rPr>
        <w:t>Программа была предметом экспертизы, проведенной Контрольно-счетной палатой в 2018 году.</w:t>
      </w:r>
      <w:r>
        <w:rPr>
          <w:spacing w:val="-8"/>
          <w:sz w:val="28"/>
          <w:szCs w:val="28"/>
        </w:rPr>
        <w:t xml:space="preserve"> </w:t>
      </w:r>
      <w:r w:rsidR="006D5400">
        <w:rPr>
          <w:spacing w:val="-8"/>
          <w:sz w:val="28"/>
          <w:szCs w:val="28"/>
        </w:rPr>
        <w:t>Некоторые з</w:t>
      </w:r>
      <w:r w:rsidRPr="006E04EF">
        <w:rPr>
          <w:spacing w:val="-8"/>
          <w:sz w:val="28"/>
          <w:szCs w:val="28"/>
        </w:rPr>
        <w:t xml:space="preserve">амечания и предложения, подготовленные по итогам проведенной экспертизы, не были </w:t>
      </w:r>
      <w:proofErr w:type="gramStart"/>
      <w:r w:rsidRPr="006E04EF">
        <w:rPr>
          <w:spacing w:val="-8"/>
          <w:sz w:val="28"/>
          <w:szCs w:val="28"/>
        </w:rPr>
        <w:t>реа</w:t>
      </w:r>
      <w:r w:rsidR="00C109DD">
        <w:rPr>
          <w:spacing w:val="-8"/>
          <w:sz w:val="28"/>
          <w:szCs w:val="28"/>
        </w:rPr>
        <w:t>лизованы и остаются</w:t>
      </w:r>
      <w:proofErr w:type="gramEnd"/>
      <w:r w:rsidR="00C109DD">
        <w:rPr>
          <w:spacing w:val="-8"/>
          <w:sz w:val="28"/>
          <w:szCs w:val="28"/>
        </w:rPr>
        <w:t xml:space="preserve"> актуальными</w:t>
      </w:r>
      <w:r w:rsidR="006D5400">
        <w:rPr>
          <w:spacing w:val="-8"/>
          <w:sz w:val="28"/>
          <w:szCs w:val="28"/>
        </w:rPr>
        <w:t>:</w:t>
      </w:r>
    </w:p>
    <w:p w:rsidR="006D5400" w:rsidRPr="006D5400" w:rsidRDefault="006D5400" w:rsidP="009C3E87">
      <w:pPr>
        <w:pStyle w:val="af4"/>
        <w:ind w:left="0" w:firstLine="709"/>
        <w:jc w:val="both"/>
        <w:rPr>
          <w:spacing w:val="-8"/>
          <w:sz w:val="28"/>
          <w:szCs w:val="28"/>
        </w:rPr>
      </w:pPr>
      <w:r>
        <w:rPr>
          <w:spacing w:val="-8"/>
          <w:sz w:val="28"/>
          <w:szCs w:val="28"/>
        </w:rPr>
        <w:t xml:space="preserve">1. </w:t>
      </w:r>
      <w:r w:rsidR="009C3E87">
        <w:rPr>
          <w:spacing w:val="-8"/>
          <w:sz w:val="28"/>
          <w:szCs w:val="28"/>
        </w:rPr>
        <w:t>Указывалось, что "</w:t>
      </w:r>
      <w:r w:rsidRPr="006D5400">
        <w:rPr>
          <w:spacing w:val="-8"/>
          <w:sz w:val="28"/>
          <w:szCs w:val="28"/>
        </w:rPr>
        <w:t>Стратегия социально-э</w:t>
      </w:r>
      <w:bookmarkStart w:id="0" w:name="_GoBack"/>
      <w:bookmarkEnd w:id="0"/>
      <w:r w:rsidRPr="006D5400">
        <w:rPr>
          <w:spacing w:val="-8"/>
          <w:sz w:val="28"/>
          <w:szCs w:val="28"/>
        </w:rPr>
        <w:t>кономического развития МО ГО "Сыктывкар" до 2035 года</w:t>
      </w:r>
      <w:r w:rsidR="009C3E87">
        <w:rPr>
          <w:spacing w:val="-8"/>
          <w:sz w:val="28"/>
          <w:szCs w:val="28"/>
        </w:rPr>
        <w:t>"</w:t>
      </w:r>
      <w:r w:rsidRPr="006D5400">
        <w:rPr>
          <w:spacing w:val="-8"/>
          <w:sz w:val="28"/>
          <w:szCs w:val="28"/>
        </w:rPr>
        <w:t xml:space="preserve"> не содержит целевых показателей, характеризующих уровень благоустройства территорий города и позволяющих оценить эффективность реализации мероприятий по данному направлению</w:t>
      </w:r>
      <w:r>
        <w:rPr>
          <w:spacing w:val="-8"/>
          <w:sz w:val="28"/>
          <w:szCs w:val="28"/>
        </w:rPr>
        <w:t>.</w:t>
      </w:r>
      <w:r w:rsidRPr="009C3E87">
        <w:rPr>
          <w:spacing w:val="-8"/>
          <w:sz w:val="28"/>
          <w:szCs w:val="28"/>
        </w:rPr>
        <w:t xml:space="preserve"> </w:t>
      </w:r>
      <w:r w:rsidR="009C3E87" w:rsidRPr="009C3E87">
        <w:rPr>
          <w:spacing w:val="-8"/>
          <w:sz w:val="28"/>
          <w:szCs w:val="28"/>
        </w:rPr>
        <w:t>В связи с чем</w:t>
      </w:r>
      <w:r w:rsidR="009C3E87">
        <w:rPr>
          <w:spacing w:val="-8"/>
          <w:sz w:val="28"/>
          <w:szCs w:val="28"/>
        </w:rPr>
        <w:t>,</w:t>
      </w:r>
      <w:r w:rsidR="009C3E87" w:rsidRPr="009C3E87">
        <w:rPr>
          <w:spacing w:val="-8"/>
          <w:sz w:val="28"/>
          <w:szCs w:val="28"/>
        </w:rPr>
        <w:t xml:space="preserve"> </w:t>
      </w:r>
      <w:r w:rsidR="009C3E87">
        <w:rPr>
          <w:spacing w:val="-8"/>
          <w:sz w:val="28"/>
          <w:szCs w:val="28"/>
        </w:rPr>
        <w:t xml:space="preserve">предлагалось </w:t>
      </w:r>
      <w:r w:rsidRPr="006D5400">
        <w:rPr>
          <w:spacing w:val="-8"/>
          <w:sz w:val="28"/>
          <w:szCs w:val="28"/>
        </w:rPr>
        <w:t>рассмотреть вопрос о включении в Стратегию целевых показателей, позволяющих оценить реализацию мероприятий по повышению уровня благоустройства территорий города</w:t>
      </w:r>
      <w:proofErr w:type="gramStart"/>
      <w:r w:rsidRPr="006D5400">
        <w:rPr>
          <w:spacing w:val="-8"/>
          <w:sz w:val="28"/>
          <w:szCs w:val="28"/>
        </w:rPr>
        <w:t>.</w:t>
      </w:r>
      <w:proofErr w:type="gramEnd"/>
      <w:r w:rsidR="009C3E87" w:rsidRPr="009C3E87">
        <w:rPr>
          <w:rFonts w:eastAsia="Times-Roman"/>
        </w:rPr>
        <w:t xml:space="preserve"> </w:t>
      </w:r>
      <w:r w:rsidR="009C3E87">
        <w:rPr>
          <w:spacing w:val="-8"/>
          <w:sz w:val="28"/>
          <w:szCs w:val="28"/>
        </w:rPr>
        <w:t>В</w:t>
      </w:r>
      <w:r w:rsidR="009C3E87" w:rsidRPr="009C3E87">
        <w:rPr>
          <w:spacing w:val="-8"/>
          <w:sz w:val="28"/>
          <w:szCs w:val="28"/>
        </w:rPr>
        <w:t xml:space="preserve"> Стратегию целевые показатели не включены</w:t>
      </w:r>
      <w:r w:rsidR="009C3E87">
        <w:rPr>
          <w:spacing w:val="-8"/>
          <w:sz w:val="28"/>
          <w:szCs w:val="28"/>
        </w:rPr>
        <w:t>.</w:t>
      </w:r>
    </w:p>
    <w:p w:rsidR="006D5400" w:rsidRPr="006D5400" w:rsidRDefault="006D5400" w:rsidP="009C3E87">
      <w:pPr>
        <w:pStyle w:val="af4"/>
        <w:ind w:left="0" w:firstLine="709"/>
        <w:jc w:val="both"/>
        <w:rPr>
          <w:spacing w:val="-8"/>
          <w:sz w:val="28"/>
          <w:szCs w:val="28"/>
        </w:rPr>
      </w:pPr>
      <w:r>
        <w:rPr>
          <w:spacing w:val="-8"/>
          <w:sz w:val="28"/>
          <w:szCs w:val="28"/>
        </w:rPr>
        <w:t xml:space="preserve">2. </w:t>
      </w:r>
      <w:r w:rsidR="009C3E87">
        <w:rPr>
          <w:spacing w:val="-8"/>
          <w:sz w:val="28"/>
          <w:szCs w:val="28"/>
        </w:rPr>
        <w:t>Указывалось, что о</w:t>
      </w:r>
      <w:r w:rsidRPr="006D5400">
        <w:rPr>
          <w:spacing w:val="-8"/>
          <w:sz w:val="28"/>
          <w:szCs w:val="28"/>
        </w:rPr>
        <w:t>ценка эффективности Программы осуществляется на основании двух индикаторов, характеризующих только количественный результат реализации</w:t>
      </w:r>
      <w:r>
        <w:rPr>
          <w:spacing w:val="-8"/>
          <w:sz w:val="28"/>
          <w:szCs w:val="28"/>
        </w:rPr>
        <w:t>.</w:t>
      </w:r>
      <w:r w:rsidRPr="006D5400">
        <w:rPr>
          <w:spacing w:val="-8"/>
          <w:sz w:val="28"/>
          <w:szCs w:val="28"/>
        </w:rPr>
        <w:t xml:space="preserve"> </w:t>
      </w:r>
      <w:r w:rsidR="009C3E87" w:rsidRPr="009C3E87">
        <w:rPr>
          <w:spacing w:val="-8"/>
          <w:sz w:val="28"/>
          <w:szCs w:val="28"/>
        </w:rPr>
        <w:t>В связи с чем, предлагалось</w:t>
      </w:r>
      <w:r w:rsidRPr="006D5400">
        <w:rPr>
          <w:spacing w:val="-8"/>
          <w:sz w:val="28"/>
          <w:szCs w:val="28"/>
        </w:rPr>
        <w:t xml:space="preserve"> рассмотреть вопрос о включении в Программу, как документ стратегического планирования, показателей, характеризующих качественную оценку её реализации</w:t>
      </w:r>
      <w:proofErr w:type="gramStart"/>
      <w:r w:rsidRPr="006D5400">
        <w:rPr>
          <w:spacing w:val="-8"/>
          <w:sz w:val="28"/>
          <w:szCs w:val="28"/>
        </w:rPr>
        <w:t>.</w:t>
      </w:r>
      <w:proofErr w:type="gramEnd"/>
      <w:r w:rsidR="009C3E87" w:rsidRPr="00611C42">
        <w:rPr>
          <w:spacing w:val="-8"/>
          <w:sz w:val="28"/>
          <w:szCs w:val="28"/>
        </w:rPr>
        <w:t xml:space="preserve"> </w:t>
      </w:r>
      <w:r w:rsidR="00611C42" w:rsidRPr="00611C42">
        <w:rPr>
          <w:spacing w:val="-8"/>
          <w:sz w:val="28"/>
          <w:szCs w:val="28"/>
        </w:rPr>
        <w:t xml:space="preserve">Соответствующие </w:t>
      </w:r>
      <w:r w:rsidR="00611C42" w:rsidRPr="009C3E87">
        <w:rPr>
          <w:spacing w:val="-8"/>
          <w:sz w:val="28"/>
          <w:szCs w:val="28"/>
        </w:rPr>
        <w:t>изменения</w:t>
      </w:r>
      <w:r w:rsidR="00611C42">
        <w:rPr>
          <w:spacing w:val="-8"/>
          <w:sz w:val="28"/>
          <w:szCs w:val="28"/>
        </w:rPr>
        <w:t xml:space="preserve"> в</w:t>
      </w:r>
      <w:r w:rsidR="009C3E87" w:rsidRPr="009C3E87">
        <w:rPr>
          <w:spacing w:val="-8"/>
          <w:sz w:val="28"/>
          <w:szCs w:val="28"/>
        </w:rPr>
        <w:t xml:space="preserve"> Программу не внесены</w:t>
      </w:r>
      <w:r w:rsidR="009C3E87">
        <w:rPr>
          <w:spacing w:val="-8"/>
          <w:sz w:val="28"/>
          <w:szCs w:val="28"/>
        </w:rPr>
        <w:t>.</w:t>
      </w:r>
    </w:p>
    <w:p w:rsidR="00E0655C" w:rsidRDefault="00E0655C" w:rsidP="00E0655C">
      <w:pPr>
        <w:spacing w:before="120"/>
        <w:ind w:firstLine="709"/>
        <w:jc w:val="both"/>
        <w:rPr>
          <w:spacing w:val="-8"/>
          <w:sz w:val="28"/>
          <w:szCs w:val="28"/>
        </w:rPr>
      </w:pPr>
      <w:r w:rsidRPr="00E0655C">
        <w:rPr>
          <w:spacing w:val="-8"/>
          <w:sz w:val="28"/>
          <w:szCs w:val="28"/>
        </w:rPr>
        <w:t xml:space="preserve">Практически весь объем финансирования Программы (99,99 процента) распределен на подпрограмму 1 "Благоустройство территорий МО ГО "Сыктывкар". Финансирование подпрограммы 2 "Управление реализацией проектами благоустройства на территории МО ГО "Сыктывкар" предусмотрено только в 2019 году. </w:t>
      </w:r>
    </w:p>
    <w:p w:rsidR="00E0655C" w:rsidRPr="00E0655C" w:rsidRDefault="00E0655C" w:rsidP="00F5638D">
      <w:pPr>
        <w:ind w:firstLine="709"/>
        <w:jc w:val="both"/>
        <w:rPr>
          <w:spacing w:val="-8"/>
          <w:sz w:val="28"/>
          <w:szCs w:val="28"/>
        </w:rPr>
      </w:pPr>
      <w:r>
        <w:rPr>
          <w:spacing w:val="-8"/>
          <w:sz w:val="28"/>
          <w:szCs w:val="28"/>
        </w:rPr>
        <w:t xml:space="preserve">В 2020 году </w:t>
      </w:r>
      <w:r w:rsidRPr="00E0655C">
        <w:rPr>
          <w:spacing w:val="-8"/>
          <w:sz w:val="28"/>
          <w:szCs w:val="28"/>
        </w:rPr>
        <w:t>бюджетные средства на реализацию основных мероприятий распределены только по трем из восьми исполнителей Программы</w:t>
      </w:r>
      <w:r>
        <w:rPr>
          <w:spacing w:val="-8"/>
          <w:sz w:val="28"/>
          <w:szCs w:val="28"/>
        </w:rPr>
        <w:t>.</w:t>
      </w:r>
    </w:p>
    <w:p w:rsidR="00F5638D" w:rsidRPr="00F5638D" w:rsidRDefault="00F5638D" w:rsidP="00F5638D">
      <w:pPr>
        <w:ind w:firstLine="709"/>
        <w:jc w:val="both"/>
        <w:rPr>
          <w:spacing w:val="-8"/>
          <w:sz w:val="28"/>
          <w:szCs w:val="28"/>
        </w:rPr>
      </w:pPr>
      <w:r w:rsidRPr="00F5638D">
        <w:rPr>
          <w:spacing w:val="-8"/>
          <w:sz w:val="28"/>
          <w:szCs w:val="28"/>
        </w:rPr>
        <w:t>В таблице "Сведения о целевых показателях (индикаторах) Программы и их значениях" в сквозной нумерации индикаторов присутствует техническая ошибка: пункт № 12 фактически содержит 2 индикатора.</w:t>
      </w:r>
    </w:p>
    <w:p w:rsidR="00F5638D" w:rsidRPr="00F5638D" w:rsidRDefault="00F5638D" w:rsidP="00F5638D">
      <w:pPr>
        <w:ind w:firstLine="709"/>
        <w:jc w:val="both"/>
        <w:rPr>
          <w:spacing w:val="-8"/>
          <w:sz w:val="28"/>
          <w:szCs w:val="28"/>
        </w:rPr>
      </w:pPr>
      <w:r w:rsidRPr="00F5638D">
        <w:rPr>
          <w:spacing w:val="-8"/>
          <w:sz w:val="28"/>
          <w:szCs w:val="28"/>
        </w:rPr>
        <w:t xml:space="preserve">В 2019 году в </w:t>
      </w:r>
      <w:r>
        <w:rPr>
          <w:spacing w:val="-8"/>
          <w:sz w:val="28"/>
          <w:szCs w:val="28"/>
        </w:rPr>
        <w:t>П</w:t>
      </w:r>
      <w:r w:rsidRPr="00F5638D">
        <w:rPr>
          <w:spacing w:val="-8"/>
          <w:sz w:val="28"/>
          <w:szCs w:val="28"/>
        </w:rPr>
        <w:t>рограмму внесены изменения в части продления срока ее реализации до 2024 года (+2 года).</w:t>
      </w:r>
    </w:p>
    <w:p w:rsidR="00F5638D" w:rsidRDefault="00F5638D" w:rsidP="00F5638D">
      <w:pPr>
        <w:spacing w:before="120"/>
        <w:ind w:firstLine="709"/>
        <w:jc w:val="both"/>
        <w:rPr>
          <w:spacing w:val="-8"/>
          <w:sz w:val="28"/>
          <w:szCs w:val="28"/>
        </w:rPr>
      </w:pPr>
      <w:r w:rsidRPr="00F5638D">
        <w:rPr>
          <w:spacing w:val="-8"/>
          <w:sz w:val="28"/>
          <w:szCs w:val="28"/>
        </w:rPr>
        <w:t>С начала действия Программы осуществлялась реализация 10 инвестиционных проектов, из них: реализация 2 проектов завершена, 2 проекта исключены из перечня инвестиционных проектов на 2020-2022 годы.</w:t>
      </w:r>
    </w:p>
    <w:p w:rsidR="0065599A" w:rsidRDefault="005E1CFE" w:rsidP="00F5638D">
      <w:pPr>
        <w:spacing w:before="120"/>
        <w:ind w:firstLine="709"/>
        <w:jc w:val="both"/>
        <w:rPr>
          <w:spacing w:val="-8"/>
          <w:sz w:val="28"/>
          <w:szCs w:val="28"/>
        </w:rPr>
      </w:pPr>
      <w:r>
        <w:rPr>
          <w:bCs/>
          <w:spacing w:val="-8"/>
          <w:sz w:val="28"/>
          <w:szCs w:val="28"/>
        </w:rPr>
        <w:t>Н</w:t>
      </w:r>
      <w:r w:rsidRPr="005E1CFE">
        <w:rPr>
          <w:bCs/>
          <w:spacing w:val="-8"/>
          <w:sz w:val="28"/>
          <w:szCs w:val="28"/>
        </w:rPr>
        <w:t>а финансирование инвестиционных проектов</w:t>
      </w:r>
      <w:r w:rsidRPr="005E1CFE">
        <w:t xml:space="preserve"> </w:t>
      </w:r>
      <w:r w:rsidRPr="005E1CFE">
        <w:rPr>
          <w:bCs/>
          <w:spacing w:val="-8"/>
          <w:sz w:val="28"/>
          <w:szCs w:val="28"/>
        </w:rPr>
        <w:t>направлено</w:t>
      </w:r>
      <w:r>
        <w:rPr>
          <w:bCs/>
          <w:spacing w:val="-8"/>
          <w:sz w:val="28"/>
          <w:szCs w:val="28"/>
        </w:rPr>
        <w:t>:</w:t>
      </w:r>
      <w:r w:rsidRPr="005E1CFE">
        <w:t xml:space="preserve"> </w:t>
      </w:r>
      <w:r w:rsidRPr="005E1CFE">
        <w:rPr>
          <w:bCs/>
          <w:spacing w:val="-8"/>
          <w:sz w:val="28"/>
          <w:szCs w:val="28"/>
        </w:rPr>
        <w:t>в 2018 году</w:t>
      </w:r>
      <w:r w:rsidR="007E4E3D">
        <w:rPr>
          <w:bCs/>
          <w:spacing w:val="-8"/>
          <w:sz w:val="28"/>
          <w:szCs w:val="28"/>
        </w:rPr>
        <w:t xml:space="preserve"> </w:t>
      </w:r>
      <w:r w:rsidR="007E4E3D">
        <w:rPr>
          <w:bCs/>
          <w:spacing w:val="-8"/>
          <w:sz w:val="28"/>
          <w:szCs w:val="28"/>
        </w:rPr>
        <w:br/>
      </w:r>
      <w:r w:rsidR="007E4E3D" w:rsidRPr="007E4E3D">
        <w:rPr>
          <w:bCs/>
          <w:spacing w:val="-8"/>
          <w:sz w:val="28"/>
          <w:szCs w:val="28"/>
        </w:rPr>
        <w:t>11 936,9 тыс. рублей или 67,4 процента</w:t>
      </w:r>
      <w:r w:rsidR="007E4E3D">
        <w:rPr>
          <w:bCs/>
          <w:spacing w:val="-8"/>
          <w:sz w:val="28"/>
          <w:szCs w:val="28"/>
        </w:rPr>
        <w:t xml:space="preserve"> от плана, </w:t>
      </w:r>
      <w:r w:rsidR="007E4E3D" w:rsidRPr="007E4E3D">
        <w:rPr>
          <w:bCs/>
          <w:spacing w:val="-8"/>
          <w:sz w:val="28"/>
          <w:szCs w:val="28"/>
        </w:rPr>
        <w:t>в 2019 году</w:t>
      </w:r>
      <w:r w:rsidR="007E4E3D">
        <w:rPr>
          <w:bCs/>
          <w:spacing w:val="-8"/>
          <w:sz w:val="28"/>
          <w:szCs w:val="28"/>
        </w:rPr>
        <w:t xml:space="preserve"> </w:t>
      </w:r>
      <w:r w:rsidR="007E4E3D" w:rsidRPr="007E4E3D">
        <w:rPr>
          <w:bCs/>
          <w:spacing w:val="-8"/>
          <w:sz w:val="28"/>
          <w:szCs w:val="28"/>
        </w:rPr>
        <w:t>17 604,2 тыс. рублей или 85,6 процента от плана</w:t>
      </w:r>
      <w:r w:rsidR="007E4E3D">
        <w:rPr>
          <w:bCs/>
          <w:spacing w:val="-8"/>
          <w:sz w:val="28"/>
          <w:szCs w:val="28"/>
        </w:rPr>
        <w:t>.</w:t>
      </w:r>
    </w:p>
    <w:p w:rsidR="00F5638D" w:rsidRPr="00F5638D" w:rsidRDefault="00F5638D" w:rsidP="00F5638D">
      <w:pPr>
        <w:ind w:firstLine="709"/>
        <w:jc w:val="both"/>
        <w:rPr>
          <w:spacing w:val="-8"/>
          <w:sz w:val="28"/>
          <w:szCs w:val="28"/>
        </w:rPr>
      </w:pPr>
      <w:r w:rsidRPr="00F5638D">
        <w:rPr>
          <w:spacing w:val="-8"/>
          <w:sz w:val="28"/>
          <w:szCs w:val="28"/>
        </w:rPr>
        <w:t xml:space="preserve">Перечень инвестиционных проектов на 2020-2022 годы не предусматривает </w:t>
      </w:r>
      <w:r w:rsidRPr="00F5638D">
        <w:rPr>
          <w:spacing w:val="-8"/>
          <w:sz w:val="28"/>
          <w:szCs w:val="28"/>
        </w:rPr>
        <w:lastRenderedPageBreak/>
        <w:t xml:space="preserve">реализацию инвестиционного проекта </w:t>
      </w:r>
      <w:r w:rsidRPr="00F5638D">
        <w:rPr>
          <w:i/>
          <w:iCs/>
          <w:spacing w:val="-8"/>
          <w:sz w:val="28"/>
          <w:szCs w:val="28"/>
        </w:rPr>
        <w:t xml:space="preserve">"Строительство ливневой канализации по ул. Колхозной, в </w:t>
      </w:r>
      <w:proofErr w:type="spellStart"/>
      <w:r w:rsidRPr="00F5638D">
        <w:rPr>
          <w:i/>
          <w:iCs/>
          <w:spacing w:val="-8"/>
          <w:sz w:val="28"/>
          <w:szCs w:val="28"/>
        </w:rPr>
        <w:t>т.ч</w:t>
      </w:r>
      <w:proofErr w:type="spellEnd"/>
      <w:r w:rsidRPr="00F5638D">
        <w:rPr>
          <w:i/>
          <w:iCs/>
          <w:spacing w:val="-8"/>
          <w:sz w:val="28"/>
          <w:szCs w:val="28"/>
        </w:rPr>
        <w:t>. ПИР"</w:t>
      </w:r>
      <w:r w:rsidRPr="00F5638D">
        <w:rPr>
          <w:spacing w:val="-8"/>
          <w:sz w:val="28"/>
          <w:szCs w:val="28"/>
        </w:rPr>
        <w:t xml:space="preserve">, </w:t>
      </w:r>
      <w:r w:rsidRPr="00F5638D">
        <w:rPr>
          <w:iCs/>
          <w:spacing w:val="-8"/>
          <w:sz w:val="28"/>
          <w:szCs w:val="28"/>
        </w:rPr>
        <w:t>в связи с чем</w:t>
      </w:r>
      <w:r>
        <w:rPr>
          <w:iCs/>
          <w:spacing w:val="-8"/>
          <w:sz w:val="28"/>
          <w:szCs w:val="28"/>
        </w:rPr>
        <w:t>,</w:t>
      </w:r>
      <w:r w:rsidRPr="00F5638D">
        <w:rPr>
          <w:iCs/>
          <w:spacing w:val="-8"/>
          <w:sz w:val="28"/>
          <w:szCs w:val="28"/>
        </w:rPr>
        <w:t xml:space="preserve"> расходы на его реализацию, произведенные в предыдущих периодах, могут быть признаны неэффективными</w:t>
      </w:r>
    </w:p>
    <w:p w:rsidR="00F5638D" w:rsidRPr="00F5638D" w:rsidRDefault="00F5638D" w:rsidP="00F5638D">
      <w:pPr>
        <w:ind w:firstLine="709"/>
        <w:jc w:val="both"/>
        <w:rPr>
          <w:spacing w:val="-8"/>
          <w:sz w:val="28"/>
          <w:szCs w:val="28"/>
        </w:rPr>
      </w:pPr>
      <w:r w:rsidRPr="00F5638D">
        <w:rPr>
          <w:spacing w:val="-8"/>
          <w:sz w:val="28"/>
          <w:szCs w:val="28"/>
        </w:rPr>
        <w:t xml:space="preserve">Основной проблемой реализации инвестиционных проектов является невозможность получения положительного заключения экспертизы на разработанную проектную документацию и результаты инженерных изысканий. </w:t>
      </w:r>
    </w:p>
    <w:p w:rsidR="00F5638D" w:rsidRPr="00F5638D" w:rsidRDefault="00F5638D" w:rsidP="00F5638D">
      <w:pPr>
        <w:ind w:firstLine="709"/>
        <w:jc w:val="both"/>
        <w:rPr>
          <w:spacing w:val="-8"/>
          <w:sz w:val="28"/>
          <w:szCs w:val="28"/>
        </w:rPr>
      </w:pPr>
      <w:r w:rsidRPr="00F5638D">
        <w:rPr>
          <w:spacing w:val="-8"/>
          <w:sz w:val="28"/>
          <w:szCs w:val="28"/>
        </w:rPr>
        <w:t>В связи с этим необходимо рассмотреть вопрос о заключении муниципальных контрактов, предметом и результатом которых являются проектные и изыскательские работы, получившие положительное заключение государственной экспертизы.</w:t>
      </w:r>
    </w:p>
    <w:p w:rsidR="00A03E60" w:rsidRPr="00A03E60" w:rsidRDefault="00A03E60" w:rsidP="00A03E60">
      <w:pPr>
        <w:spacing w:before="120"/>
        <w:ind w:firstLine="709"/>
        <w:jc w:val="both"/>
        <w:rPr>
          <w:iCs/>
          <w:spacing w:val="-8"/>
          <w:sz w:val="28"/>
          <w:szCs w:val="28"/>
        </w:rPr>
      </w:pPr>
      <w:r w:rsidRPr="00A03E60">
        <w:rPr>
          <w:spacing w:val="-8"/>
          <w:sz w:val="28"/>
          <w:szCs w:val="28"/>
        </w:rPr>
        <w:t>Согласно данным сводного годового доклада за 2019 год,</w:t>
      </w:r>
      <w:r w:rsidRPr="00A03E60">
        <w:t xml:space="preserve"> </w:t>
      </w:r>
      <w:r>
        <w:rPr>
          <w:spacing w:val="-8"/>
          <w:sz w:val="28"/>
          <w:szCs w:val="28"/>
        </w:rPr>
        <w:t>н</w:t>
      </w:r>
      <w:r w:rsidRPr="00A03E60">
        <w:rPr>
          <w:spacing w:val="-8"/>
          <w:sz w:val="28"/>
          <w:szCs w:val="28"/>
        </w:rPr>
        <w:t xml:space="preserve">а основании </w:t>
      </w:r>
      <w:r w:rsidRPr="00A03E60">
        <w:rPr>
          <w:spacing w:val="-8"/>
          <w:sz w:val="28"/>
          <w:szCs w:val="28"/>
        </w:rPr>
        <w:t xml:space="preserve">оценки эффективности </w:t>
      </w:r>
      <w:r w:rsidRPr="00A03E60">
        <w:rPr>
          <w:spacing w:val="-8"/>
          <w:sz w:val="28"/>
          <w:szCs w:val="28"/>
        </w:rPr>
        <w:t>проведенной Управлением экономики</w:t>
      </w:r>
      <w:r>
        <w:rPr>
          <w:spacing w:val="-8"/>
          <w:sz w:val="28"/>
          <w:szCs w:val="28"/>
        </w:rPr>
        <w:t>,</w:t>
      </w:r>
      <w:r w:rsidRPr="00A03E60">
        <w:rPr>
          <w:spacing w:val="-8"/>
          <w:sz w:val="28"/>
          <w:szCs w:val="28"/>
        </w:rPr>
        <w:t xml:space="preserve"> </w:t>
      </w:r>
      <w:r w:rsidR="007D6270">
        <w:rPr>
          <w:spacing w:val="-8"/>
          <w:sz w:val="28"/>
          <w:szCs w:val="28"/>
        </w:rPr>
        <w:t>П</w:t>
      </w:r>
      <w:r w:rsidRPr="00A03E60">
        <w:rPr>
          <w:spacing w:val="-8"/>
          <w:sz w:val="28"/>
          <w:szCs w:val="28"/>
        </w:rPr>
        <w:t>рограмма признана эффективной (уровень эффективности – 100,0 процентов).</w:t>
      </w:r>
    </w:p>
    <w:p w:rsidR="00E0655C" w:rsidRPr="00E0655C" w:rsidRDefault="00A03E60" w:rsidP="007D6270">
      <w:pPr>
        <w:ind w:firstLine="709"/>
        <w:jc w:val="both"/>
        <w:rPr>
          <w:spacing w:val="-8"/>
          <w:sz w:val="28"/>
          <w:szCs w:val="28"/>
        </w:rPr>
      </w:pPr>
      <w:r w:rsidRPr="00A03E60">
        <w:rPr>
          <w:spacing w:val="-8"/>
          <w:sz w:val="28"/>
          <w:szCs w:val="28"/>
        </w:rPr>
        <w:t>Проведенным анализом установлено наличие ошибок при проведении Управлением экономики оценки эффективности реализации Программы за 2019 год</w:t>
      </w:r>
      <w:r w:rsidR="0086670D">
        <w:rPr>
          <w:spacing w:val="-8"/>
          <w:sz w:val="28"/>
          <w:szCs w:val="28"/>
        </w:rPr>
        <w:t>.</w:t>
      </w:r>
    </w:p>
    <w:p w:rsidR="0086670D" w:rsidRPr="0086670D" w:rsidRDefault="0086670D" w:rsidP="0086670D">
      <w:pPr>
        <w:pStyle w:val="af4"/>
        <w:ind w:left="0" w:firstLine="709"/>
        <w:jc w:val="both"/>
        <w:rPr>
          <w:spacing w:val="-8"/>
          <w:sz w:val="28"/>
          <w:szCs w:val="28"/>
        </w:rPr>
      </w:pPr>
      <w:r>
        <w:rPr>
          <w:spacing w:val="-8"/>
          <w:sz w:val="28"/>
          <w:szCs w:val="28"/>
        </w:rPr>
        <w:t>С</w:t>
      </w:r>
      <w:r w:rsidRPr="0086670D">
        <w:rPr>
          <w:spacing w:val="-8"/>
          <w:sz w:val="28"/>
          <w:szCs w:val="28"/>
        </w:rPr>
        <w:t xml:space="preserve"> учетом перерасчета показателей итоговая оценка эффективности составит 83,9 вместо 100 процентов, что снижает уровень эффективности Программы </w:t>
      </w:r>
      <w:proofErr w:type="gramStart"/>
      <w:r w:rsidRPr="0086670D">
        <w:rPr>
          <w:spacing w:val="-8"/>
          <w:sz w:val="28"/>
          <w:szCs w:val="28"/>
        </w:rPr>
        <w:t>до</w:t>
      </w:r>
      <w:proofErr w:type="gramEnd"/>
      <w:r w:rsidRPr="0086670D">
        <w:rPr>
          <w:spacing w:val="-8"/>
          <w:sz w:val="28"/>
          <w:szCs w:val="28"/>
        </w:rPr>
        <w:t xml:space="preserve"> "Умеренно эффективна".</w:t>
      </w:r>
    </w:p>
    <w:p w:rsidR="006D5400" w:rsidRPr="006E04EF" w:rsidRDefault="006D5400" w:rsidP="009469D7">
      <w:pPr>
        <w:pStyle w:val="af4"/>
        <w:spacing w:before="120"/>
        <w:ind w:left="0" w:firstLine="709"/>
        <w:jc w:val="both"/>
        <w:rPr>
          <w:spacing w:val="-8"/>
          <w:sz w:val="28"/>
          <w:szCs w:val="28"/>
        </w:rPr>
      </w:pPr>
    </w:p>
    <w:sectPr w:rsidR="006D5400" w:rsidRPr="006E04EF" w:rsidSect="00204250">
      <w:headerReference w:type="even" r:id="rId9"/>
      <w:headerReference w:type="default" r:id="rId10"/>
      <w:footerReference w:type="default" r:id="rId11"/>
      <w:footerReference w:type="first" r:id="rId12"/>
      <w:pgSz w:w="11906" w:h="16838"/>
      <w:pgMar w:top="1134" w:right="567" w:bottom="964"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3E" w:rsidRDefault="000C163E">
      <w:r>
        <w:separator/>
      </w:r>
    </w:p>
  </w:endnote>
  <w:endnote w:type="continuationSeparator" w:id="0">
    <w:p w:rsidR="000C163E" w:rsidRDefault="000C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3E" w:rsidRDefault="000C163E">
      <w:r>
        <w:separator/>
      </w:r>
    </w:p>
  </w:footnote>
  <w:footnote w:type="continuationSeparator" w:id="0">
    <w:p w:rsidR="000C163E" w:rsidRDefault="000C1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E5635">
      <w:rPr>
        <w:rStyle w:val="a6"/>
        <w:noProof/>
      </w:rPr>
      <w:t>2</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7645A"/>
    <w:multiLevelType w:val="hybridMultilevel"/>
    <w:tmpl w:val="99AA7D7C"/>
    <w:lvl w:ilvl="0" w:tplc="07E657FE">
      <w:start w:val="1"/>
      <w:numFmt w:val="decimal"/>
      <w:lvlText w:val="%1."/>
      <w:lvlJc w:val="left"/>
      <w:pPr>
        <w:ind w:left="644" w:hanging="360"/>
      </w:pPr>
      <w:rPr>
        <w:rFonts w:hint="default"/>
      </w:rPr>
    </w:lvl>
    <w:lvl w:ilvl="1" w:tplc="04190019">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4">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6">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19">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18"/>
  </w:num>
  <w:num w:numId="5">
    <w:abstractNumId w:val="16"/>
  </w:num>
  <w:num w:numId="6">
    <w:abstractNumId w:val="19"/>
  </w:num>
  <w:num w:numId="7">
    <w:abstractNumId w:val="13"/>
  </w:num>
  <w:num w:numId="8">
    <w:abstractNumId w:val="0"/>
  </w:num>
  <w:num w:numId="9">
    <w:abstractNumId w:val="12"/>
  </w:num>
  <w:num w:numId="10">
    <w:abstractNumId w:val="17"/>
  </w:num>
  <w:num w:numId="11">
    <w:abstractNumId w:val="5"/>
  </w:num>
  <w:num w:numId="12">
    <w:abstractNumId w:val="6"/>
  </w:num>
  <w:num w:numId="13">
    <w:abstractNumId w:val="1"/>
  </w:num>
  <w:num w:numId="14">
    <w:abstractNumId w:val="4"/>
  </w:num>
  <w:num w:numId="15">
    <w:abstractNumId w:val="11"/>
  </w:num>
  <w:num w:numId="16">
    <w:abstractNumId w:val="14"/>
  </w:num>
  <w:num w:numId="17">
    <w:abstractNumId w:val="8"/>
  </w:num>
  <w:num w:numId="18">
    <w:abstractNumId w:val="9"/>
  </w:num>
  <w:num w:numId="19">
    <w:abstractNumId w:val="10"/>
  </w:num>
  <w:num w:numId="2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953"/>
    <w:rsid w:val="00042EF7"/>
    <w:rsid w:val="00043A91"/>
    <w:rsid w:val="00044F93"/>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163E"/>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4249"/>
    <w:rsid w:val="00304A6E"/>
    <w:rsid w:val="00304A94"/>
    <w:rsid w:val="00304C76"/>
    <w:rsid w:val="00305302"/>
    <w:rsid w:val="00305755"/>
    <w:rsid w:val="00305E62"/>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7F3"/>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1CFE"/>
    <w:rsid w:val="005E3128"/>
    <w:rsid w:val="005E342A"/>
    <w:rsid w:val="005E47C5"/>
    <w:rsid w:val="005E4D2A"/>
    <w:rsid w:val="005E4DCE"/>
    <w:rsid w:val="005E5635"/>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E9F"/>
    <w:rsid w:val="005F469B"/>
    <w:rsid w:val="005F4BFE"/>
    <w:rsid w:val="005F4EA3"/>
    <w:rsid w:val="005F52A6"/>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1C42"/>
    <w:rsid w:val="00612139"/>
    <w:rsid w:val="00612492"/>
    <w:rsid w:val="0061266F"/>
    <w:rsid w:val="00613706"/>
    <w:rsid w:val="00613893"/>
    <w:rsid w:val="00614463"/>
    <w:rsid w:val="00614DE8"/>
    <w:rsid w:val="0061519C"/>
    <w:rsid w:val="0061523E"/>
    <w:rsid w:val="0061576F"/>
    <w:rsid w:val="00616349"/>
    <w:rsid w:val="00616923"/>
    <w:rsid w:val="00616D39"/>
    <w:rsid w:val="0061711C"/>
    <w:rsid w:val="00617982"/>
    <w:rsid w:val="00617C46"/>
    <w:rsid w:val="006204FD"/>
    <w:rsid w:val="00620D7B"/>
    <w:rsid w:val="006219A0"/>
    <w:rsid w:val="00622D03"/>
    <w:rsid w:val="00622F1D"/>
    <w:rsid w:val="00623748"/>
    <w:rsid w:val="0062398A"/>
    <w:rsid w:val="00623E85"/>
    <w:rsid w:val="00624672"/>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844"/>
    <w:rsid w:val="00635CEA"/>
    <w:rsid w:val="006363D8"/>
    <w:rsid w:val="00636BF6"/>
    <w:rsid w:val="006370C5"/>
    <w:rsid w:val="0064006B"/>
    <w:rsid w:val="00640087"/>
    <w:rsid w:val="00640BC9"/>
    <w:rsid w:val="00640C2B"/>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CF7"/>
    <w:rsid w:val="006543ED"/>
    <w:rsid w:val="006544AB"/>
    <w:rsid w:val="00654EE2"/>
    <w:rsid w:val="0065504A"/>
    <w:rsid w:val="0065576A"/>
    <w:rsid w:val="0065599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13BA"/>
    <w:rsid w:val="006D2D80"/>
    <w:rsid w:val="006D2EEA"/>
    <w:rsid w:val="006D3204"/>
    <w:rsid w:val="006D3497"/>
    <w:rsid w:val="006D3609"/>
    <w:rsid w:val="006D37C7"/>
    <w:rsid w:val="006D3899"/>
    <w:rsid w:val="006D4803"/>
    <w:rsid w:val="006D5400"/>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E96"/>
    <w:rsid w:val="00740951"/>
    <w:rsid w:val="00740ED3"/>
    <w:rsid w:val="00741182"/>
    <w:rsid w:val="007420F3"/>
    <w:rsid w:val="00742303"/>
    <w:rsid w:val="00742803"/>
    <w:rsid w:val="007431D0"/>
    <w:rsid w:val="00743A6E"/>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CD2"/>
    <w:rsid w:val="007C6612"/>
    <w:rsid w:val="007C6A26"/>
    <w:rsid w:val="007C6A83"/>
    <w:rsid w:val="007C6AE2"/>
    <w:rsid w:val="007C78D7"/>
    <w:rsid w:val="007C7FD1"/>
    <w:rsid w:val="007D0765"/>
    <w:rsid w:val="007D1499"/>
    <w:rsid w:val="007D21EE"/>
    <w:rsid w:val="007D2894"/>
    <w:rsid w:val="007D28F6"/>
    <w:rsid w:val="007D300E"/>
    <w:rsid w:val="007D37CC"/>
    <w:rsid w:val="007D37DB"/>
    <w:rsid w:val="007D4854"/>
    <w:rsid w:val="007D6270"/>
    <w:rsid w:val="007D62F6"/>
    <w:rsid w:val="007D6B8A"/>
    <w:rsid w:val="007D7C90"/>
    <w:rsid w:val="007E054D"/>
    <w:rsid w:val="007E1839"/>
    <w:rsid w:val="007E25EE"/>
    <w:rsid w:val="007E2990"/>
    <w:rsid w:val="007E2BF9"/>
    <w:rsid w:val="007E343A"/>
    <w:rsid w:val="007E3C6B"/>
    <w:rsid w:val="007E404D"/>
    <w:rsid w:val="007E4A17"/>
    <w:rsid w:val="007E4E3D"/>
    <w:rsid w:val="007E5562"/>
    <w:rsid w:val="007E6D3B"/>
    <w:rsid w:val="007E77F2"/>
    <w:rsid w:val="007E7DB0"/>
    <w:rsid w:val="007E7F01"/>
    <w:rsid w:val="007F0C8D"/>
    <w:rsid w:val="007F0E3E"/>
    <w:rsid w:val="007F0EB5"/>
    <w:rsid w:val="007F19AE"/>
    <w:rsid w:val="007F1AF2"/>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70D"/>
    <w:rsid w:val="00866B0C"/>
    <w:rsid w:val="00866D90"/>
    <w:rsid w:val="00867931"/>
    <w:rsid w:val="00870294"/>
    <w:rsid w:val="00870566"/>
    <w:rsid w:val="00870E26"/>
    <w:rsid w:val="00871C01"/>
    <w:rsid w:val="00871E70"/>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724"/>
    <w:rsid w:val="00890F07"/>
    <w:rsid w:val="008912A8"/>
    <w:rsid w:val="00892446"/>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ECB"/>
    <w:rsid w:val="00932F79"/>
    <w:rsid w:val="00932FC7"/>
    <w:rsid w:val="00932FF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FF0"/>
    <w:rsid w:val="009C31FC"/>
    <w:rsid w:val="009C322D"/>
    <w:rsid w:val="009C3E87"/>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3E60"/>
    <w:rsid w:val="00A041F5"/>
    <w:rsid w:val="00A06896"/>
    <w:rsid w:val="00A070FE"/>
    <w:rsid w:val="00A07F99"/>
    <w:rsid w:val="00A10D1A"/>
    <w:rsid w:val="00A10EE9"/>
    <w:rsid w:val="00A1103A"/>
    <w:rsid w:val="00A11763"/>
    <w:rsid w:val="00A11A04"/>
    <w:rsid w:val="00A11D47"/>
    <w:rsid w:val="00A121B0"/>
    <w:rsid w:val="00A121E5"/>
    <w:rsid w:val="00A13030"/>
    <w:rsid w:val="00A139BF"/>
    <w:rsid w:val="00A13E0C"/>
    <w:rsid w:val="00A142F2"/>
    <w:rsid w:val="00A142FD"/>
    <w:rsid w:val="00A145BF"/>
    <w:rsid w:val="00A15BCC"/>
    <w:rsid w:val="00A15DA4"/>
    <w:rsid w:val="00A16331"/>
    <w:rsid w:val="00A1697D"/>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5439"/>
    <w:rsid w:val="00A6559F"/>
    <w:rsid w:val="00A65AE9"/>
    <w:rsid w:val="00A6630F"/>
    <w:rsid w:val="00A66513"/>
    <w:rsid w:val="00A6714E"/>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38A"/>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73B3"/>
    <w:rsid w:val="00C27433"/>
    <w:rsid w:val="00C27B7D"/>
    <w:rsid w:val="00C27F17"/>
    <w:rsid w:val="00C3044D"/>
    <w:rsid w:val="00C309F2"/>
    <w:rsid w:val="00C31556"/>
    <w:rsid w:val="00C318C4"/>
    <w:rsid w:val="00C32079"/>
    <w:rsid w:val="00C32A28"/>
    <w:rsid w:val="00C32CC1"/>
    <w:rsid w:val="00C33166"/>
    <w:rsid w:val="00C33397"/>
    <w:rsid w:val="00C3345E"/>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474F"/>
    <w:rsid w:val="00D04B16"/>
    <w:rsid w:val="00D04F67"/>
    <w:rsid w:val="00D0559B"/>
    <w:rsid w:val="00D0561C"/>
    <w:rsid w:val="00D05BDE"/>
    <w:rsid w:val="00D05F64"/>
    <w:rsid w:val="00D06232"/>
    <w:rsid w:val="00D06445"/>
    <w:rsid w:val="00D06E3F"/>
    <w:rsid w:val="00D07F4A"/>
    <w:rsid w:val="00D10684"/>
    <w:rsid w:val="00D107D6"/>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326A"/>
    <w:rsid w:val="00D739C8"/>
    <w:rsid w:val="00D73D7D"/>
    <w:rsid w:val="00D7439C"/>
    <w:rsid w:val="00D76E88"/>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55C"/>
    <w:rsid w:val="00E06634"/>
    <w:rsid w:val="00E06EE1"/>
    <w:rsid w:val="00E06F7B"/>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52C7"/>
    <w:rsid w:val="00EB57A7"/>
    <w:rsid w:val="00EB5A2C"/>
    <w:rsid w:val="00EB5C51"/>
    <w:rsid w:val="00EB62BB"/>
    <w:rsid w:val="00EB667E"/>
    <w:rsid w:val="00EB7151"/>
    <w:rsid w:val="00EB7A0F"/>
    <w:rsid w:val="00EB7FA9"/>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AED"/>
    <w:rsid w:val="00F53F46"/>
    <w:rsid w:val="00F544E4"/>
    <w:rsid w:val="00F54519"/>
    <w:rsid w:val="00F5453A"/>
    <w:rsid w:val="00F546C8"/>
    <w:rsid w:val="00F552F8"/>
    <w:rsid w:val="00F55B82"/>
    <w:rsid w:val="00F5638D"/>
    <w:rsid w:val="00F56A8F"/>
    <w:rsid w:val="00F56B8E"/>
    <w:rsid w:val="00F56DAF"/>
    <w:rsid w:val="00F6038B"/>
    <w:rsid w:val="00F608A2"/>
    <w:rsid w:val="00F60E1F"/>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E079-D70E-4117-B30E-2A39EC6E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3423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Безносикова Марина Николаевна</cp:lastModifiedBy>
  <cp:revision>2</cp:revision>
  <cp:lastPrinted>2020-06-30T08:54:00Z</cp:lastPrinted>
  <dcterms:created xsi:type="dcterms:W3CDTF">2020-06-30T12:21:00Z</dcterms:created>
  <dcterms:modified xsi:type="dcterms:W3CDTF">2020-06-30T12:21:00Z</dcterms:modified>
</cp:coreProperties>
</file>