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9E3E93" w:rsidRDefault="00A7154B" w:rsidP="00A7154B">
      <w:pPr>
        <w:jc w:val="both"/>
        <w:rPr>
          <w:sz w:val="28"/>
          <w:szCs w:val="28"/>
        </w:rPr>
      </w:pPr>
      <w:r w:rsidRPr="009E3E93">
        <w:rPr>
          <w:sz w:val="28"/>
          <w:szCs w:val="28"/>
        </w:rPr>
        <w:t xml:space="preserve">от </w:t>
      </w:r>
      <w:r w:rsidR="00CF6860" w:rsidRPr="009E3E93">
        <w:rPr>
          <w:sz w:val="28"/>
          <w:szCs w:val="28"/>
        </w:rPr>
        <w:t xml:space="preserve">20 </w:t>
      </w:r>
      <w:r w:rsidR="00F35FC1" w:rsidRPr="009E3E93">
        <w:rPr>
          <w:sz w:val="28"/>
          <w:szCs w:val="28"/>
        </w:rPr>
        <w:t>октября</w:t>
      </w:r>
      <w:r w:rsidRPr="009E3E93">
        <w:rPr>
          <w:sz w:val="28"/>
          <w:szCs w:val="28"/>
        </w:rPr>
        <w:t xml:space="preserve"> 2020 г. № </w:t>
      </w:r>
      <w:r w:rsidR="007852A7" w:rsidRPr="009E3E93">
        <w:rPr>
          <w:sz w:val="28"/>
          <w:szCs w:val="28"/>
        </w:rPr>
        <w:t>2</w:t>
      </w:r>
      <w:r w:rsidRPr="009E3E93">
        <w:rPr>
          <w:sz w:val="28"/>
          <w:szCs w:val="28"/>
        </w:rPr>
        <w:t xml:space="preserve">/2020 – </w:t>
      </w:r>
      <w:r w:rsidR="00A44B60">
        <w:rPr>
          <w:sz w:val="28"/>
          <w:szCs w:val="28"/>
        </w:rPr>
        <w:t>23</w:t>
      </w:r>
    </w:p>
    <w:p w:rsidR="00A7154B" w:rsidRPr="009E3E93" w:rsidRDefault="00A7154B" w:rsidP="00A7154B">
      <w:pPr>
        <w:rPr>
          <w:sz w:val="28"/>
          <w:szCs w:val="28"/>
        </w:rPr>
      </w:pPr>
    </w:p>
    <w:tbl>
      <w:tblPr>
        <w:tblStyle w:val="a3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A7154B" w:rsidRPr="009E3E93" w:rsidTr="00C946C1">
        <w:trPr>
          <w:trHeight w:val="9"/>
        </w:trPr>
        <w:tc>
          <w:tcPr>
            <w:tcW w:w="5778" w:type="dxa"/>
          </w:tcPr>
          <w:p w:rsidR="00A7154B" w:rsidRPr="009E3E93" w:rsidRDefault="00EB538C" w:rsidP="00B67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E93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10.12.2007 № 6/12-131 «Об утверждении Положения о порядке ведения реестра муниципальных служащих муниципального образования городского округа «Сыктывкар»</w:t>
            </w:r>
          </w:p>
        </w:tc>
      </w:tr>
    </w:tbl>
    <w:p w:rsidR="00EB538C" w:rsidRPr="009E3E93" w:rsidRDefault="00EB538C" w:rsidP="00EB538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</w:p>
    <w:p w:rsidR="00EB538C" w:rsidRPr="009E3E93" w:rsidRDefault="00FC64C1" w:rsidP="00EB53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3E93">
        <w:rPr>
          <w:bCs/>
          <w:iCs/>
          <w:sz w:val="28"/>
          <w:szCs w:val="28"/>
        </w:rPr>
        <w:t xml:space="preserve"> </w:t>
      </w:r>
      <w:r w:rsidR="005C5FF9" w:rsidRPr="009E3E93">
        <w:rPr>
          <w:bCs/>
          <w:iCs/>
          <w:sz w:val="28"/>
          <w:szCs w:val="28"/>
        </w:rPr>
        <w:t xml:space="preserve"> </w:t>
      </w:r>
      <w:r w:rsidR="00EB538C" w:rsidRPr="009E3E93">
        <w:rPr>
          <w:bCs/>
          <w:iCs/>
          <w:sz w:val="28"/>
          <w:szCs w:val="28"/>
        </w:rPr>
        <w:t xml:space="preserve">Руководствуясь </w:t>
      </w:r>
      <w:hyperlink r:id="rId8" w:history="1">
        <w:r w:rsidR="00EB538C" w:rsidRPr="009E3E93">
          <w:rPr>
            <w:bCs/>
            <w:iCs/>
            <w:sz w:val="28"/>
            <w:szCs w:val="28"/>
          </w:rPr>
          <w:t>статьей 31</w:t>
        </w:r>
      </w:hyperlink>
      <w:r w:rsidR="00EB538C" w:rsidRPr="009E3E93">
        <w:rPr>
          <w:bCs/>
          <w:iCs/>
          <w:sz w:val="28"/>
          <w:szCs w:val="28"/>
        </w:rPr>
        <w:t xml:space="preserve"> Федерального закона от 02.03.2007 № 25-ФЗ «О муниципальной службе в Российской Федерации», Ф</w:t>
      </w:r>
      <w:r w:rsidR="00EB538C" w:rsidRPr="009E3E93">
        <w:rPr>
          <w:sz w:val="28"/>
          <w:szCs w:val="28"/>
        </w:rPr>
        <w:t>едеральным законом от 29.12.2012 № 273-ФЗ «Об образовании в Российской Федерации», Указом Президента Российской Федерации от 21.02.2019 № 68 «О профессиональном развитии государственных гражданских служащих Российской Федерации», З</w:t>
      </w:r>
      <w:r w:rsidR="00EB538C" w:rsidRPr="009E3E93">
        <w:rPr>
          <w:sz w:val="28"/>
          <w:szCs w:val="28"/>
          <w:shd w:val="clear" w:color="auto" w:fill="FFFFFF"/>
        </w:rPr>
        <w:t xml:space="preserve">аконом Республики Коми от 21.12.2007 № 133-РЗ «О некоторых вопросах муниципальной службы в Республике Коми», </w:t>
      </w:r>
      <w:hyperlink r:id="rId9" w:history="1">
        <w:r w:rsidR="00EB538C" w:rsidRPr="009E3E93">
          <w:rPr>
            <w:sz w:val="28"/>
            <w:szCs w:val="28"/>
          </w:rPr>
          <w:t>статьей 33</w:t>
        </w:r>
      </w:hyperlink>
      <w:r w:rsidR="00EB538C" w:rsidRPr="009E3E93">
        <w:rPr>
          <w:sz w:val="28"/>
          <w:szCs w:val="28"/>
        </w:rPr>
        <w:t xml:space="preserve"> Устава муниципального образования городского округа «Сыктывкар»</w:t>
      </w:r>
    </w:p>
    <w:p w:rsidR="00CB3943" w:rsidRPr="009E3E93" w:rsidRDefault="00CB3943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Pr="009E3E93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3E93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Pr="009E3E93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E3E93">
        <w:rPr>
          <w:rFonts w:eastAsia="Calibri"/>
          <w:b/>
          <w:sz w:val="28"/>
          <w:szCs w:val="28"/>
          <w:lang w:eastAsia="en-US"/>
        </w:rPr>
        <w:t>РЕШИЛ:</w:t>
      </w:r>
    </w:p>
    <w:p w:rsidR="00F35FC1" w:rsidRPr="009E3E93" w:rsidRDefault="00F35FC1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B538C" w:rsidRPr="009E3E93" w:rsidRDefault="00EB538C" w:rsidP="00EB53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3E93">
        <w:rPr>
          <w:sz w:val="28"/>
          <w:szCs w:val="28"/>
        </w:rPr>
        <w:t xml:space="preserve">1. Внести в </w:t>
      </w:r>
      <w:hyperlink r:id="rId10" w:history="1">
        <w:r w:rsidRPr="009E3E93">
          <w:rPr>
            <w:sz w:val="28"/>
            <w:szCs w:val="28"/>
          </w:rPr>
          <w:t>решение</w:t>
        </w:r>
      </w:hyperlink>
      <w:r w:rsidRPr="009E3E93">
        <w:rPr>
          <w:sz w:val="28"/>
          <w:szCs w:val="28"/>
        </w:rPr>
        <w:t xml:space="preserve"> Совета муниципального образования городского округа «Сыктывкар» от 10.12.2007 № 6/12-131 «Об утверждении Положения о порядке ведения реестра муниципальных служащих муниципального образования городского округа «Сыктывкар» следующие изменения:</w:t>
      </w:r>
    </w:p>
    <w:p w:rsidR="00EB538C" w:rsidRPr="009E3E93" w:rsidRDefault="00EB538C" w:rsidP="00EB53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3E93">
        <w:rPr>
          <w:sz w:val="28"/>
          <w:szCs w:val="28"/>
        </w:rPr>
        <w:t xml:space="preserve">1.1. </w:t>
      </w:r>
      <w:hyperlink r:id="rId11" w:history="1">
        <w:r w:rsidRPr="009E3E93">
          <w:rPr>
            <w:sz w:val="28"/>
            <w:szCs w:val="28"/>
          </w:rPr>
          <w:t>Приложение № 1</w:t>
        </w:r>
      </w:hyperlink>
      <w:r w:rsidRPr="009E3E93">
        <w:rPr>
          <w:sz w:val="28"/>
          <w:szCs w:val="28"/>
        </w:rPr>
        <w:t xml:space="preserve"> «Положение о порядке ведения реестра муниципальных служащих муниципального образования городского округа «Сыктывкар» изложить в редакции согласно </w:t>
      </w:r>
      <w:hyperlink r:id="rId12" w:history="1">
        <w:r w:rsidRPr="009E3E93">
          <w:rPr>
            <w:sz w:val="28"/>
            <w:szCs w:val="28"/>
          </w:rPr>
          <w:t>приложению № 1</w:t>
        </w:r>
      </w:hyperlink>
      <w:r w:rsidRPr="009E3E93">
        <w:rPr>
          <w:sz w:val="28"/>
          <w:szCs w:val="28"/>
        </w:rPr>
        <w:t xml:space="preserve"> к настоящему решению.</w:t>
      </w:r>
    </w:p>
    <w:p w:rsidR="00EB538C" w:rsidRPr="009E3E93" w:rsidRDefault="00EB538C" w:rsidP="00EB53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3E93">
        <w:rPr>
          <w:sz w:val="28"/>
          <w:szCs w:val="28"/>
        </w:rPr>
        <w:t xml:space="preserve">1.2. </w:t>
      </w:r>
      <w:hyperlink r:id="rId13" w:history="1">
        <w:r w:rsidRPr="009E3E93">
          <w:rPr>
            <w:sz w:val="28"/>
            <w:szCs w:val="28"/>
          </w:rPr>
          <w:t>Приложение № 2</w:t>
        </w:r>
      </w:hyperlink>
      <w:r w:rsidRPr="009E3E93">
        <w:rPr>
          <w:sz w:val="28"/>
          <w:szCs w:val="28"/>
        </w:rPr>
        <w:t xml:space="preserve"> «Реестр муниципальных служащих муниципального образования городского округа «Сыктывкар» изложить в редакции согласно </w:t>
      </w:r>
      <w:hyperlink r:id="rId14" w:history="1">
        <w:r w:rsidRPr="009E3E93">
          <w:rPr>
            <w:sz w:val="28"/>
            <w:szCs w:val="28"/>
          </w:rPr>
          <w:t>приложению № 2</w:t>
        </w:r>
      </w:hyperlink>
      <w:r w:rsidRPr="009E3E93">
        <w:rPr>
          <w:sz w:val="28"/>
          <w:szCs w:val="28"/>
        </w:rPr>
        <w:t xml:space="preserve"> к настоящему решению.</w:t>
      </w:r>
    </w:p>
    <w:p w:rsidR="00EB538C" w:rsidRPr="009E3E93" w:rsidRDefault="00EB538C" w:rsidP="00EB538C">
      <w:pPr>
        <w:suppressAutoHyphens/>
        <w:autoSpaceDE w:val="0"/>
        <w:autoSpaceDN w:val="0"/>
        <w:ind w:firstLine="539"/>
        <w:jc w:val="both"/>
        <w:rPr>
          <w:sz w:val="28"/>
          <w:szCs w:val="28"/>
        </w:rPr>
      </w:pPr>
      <w:r w:rsidRPr="009E3E93">
        <w:rPr>
          <w:sz w:val="28"/>
          <w:szCs w:val="28"/>
        </w:rPr>
        <w:t xml:space="preserve">1.3. Дополнить Приложением № 3 </w:t>
      </w:r>
      <w:r w:rsidRPr="009E3E93">
        <w:rPr>
          <w:bCs/>
          <w:sz w:val="28"/>
          <w:szCs w:val="28"/>
        </w:rPr>
        <w:t xml:space="preserve">«Информация </w:t>
      </w:r>
      <w:r w:rsidRPr="009E3E93">
        <w:rPr>
          <w:sz w:val="28"/>
          <w:szCs w:val="28"/>
        </w:rPr>
        <w:t>об изменениях в Реестре муниципальных служащих муниципального образования городского округа «Сыктывкар».</w:t>
      </w:r>
    </w:p>
    <w:p w:rsidR="00EB538C" w:rsidRPr="009E3E93" w:rsidRDefault="00EB538C" w:rsidP="00EB53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3E93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F35FC1" w:rsidRDefault="00F35FC1" w:rsidP="00F35F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4B60" w:rsidRDefault="00A44B60" w:rsidP="00F35F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4B60" w:rsidRPr="009E3E93" w:rsidRDefault="00A44B60" w:rsidP="00F35F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5D22" w:rsidRPr="009E3E93" w:rsidRDefault="001E5D22" w:rsidP="001E5D22">
      <w:pPr>
        <w:jc w:val="both"/>
        <w:rPr>
          <w:sz w:val="28"/>
          <w:szCs w:val="28"/>
          <w:lang w:eastAsia="en-US"/>
        </w:rPr>
      </w:pPr>
      <w:r w:rsidRPr="009E3E93">
        <w:rPr>
          <w:sz w:val="28"/>
          <w:szCs w:val="28"/>
          <w:lang w:eastAsia="en-US"/>
        </w:rPr>
        <w:t>Глава МО ГО «Сыктывкар» -</w:t>
      </w:r>
    </w:p>
    <w:p w:rsidR="001E5D22" w:rsidRPr="009E3E93" w:rsidRDefault="001E5D22" w:rsidP="001E5D22">
      <w:pPr>
        <w:jc w:val="both"/>
        <w:rPr>
          <w:sz w:val="28"/>
          <w:szCs w:val="28"/>
          <w:lang w:eastAsia="en-US"/>
        </w:rPr>
      </w:pPr>
      <w:r w:rsidRPr="009E3E93">
        <w:rPr>
          <w:sz w:val="28"/>
          <w:szCs w:val="28"/>
          <w:lang w:eastAsia="en-US"/>
        </w:rPr>
        <w:t xml:space="preserve">руководитель администрации                             </w:t>
      </w:r>
      <w:r w:rsidR="007626E4" w:rsidRPr="009E3E93">
        <w:rPr>
          <w:sz w:val="28"/>
          <w:szCs w:val="28"/>
          <w:lang w:eastAsia="en-US"/>
        </w:rPr>
        <w:t xml:space="preserve">   </w:t>
      </w:r>
      <w:r w:rsidRPr="009E3E93">
        <w:rPr>
          <w:sz w:val="28"/>
          <w:szCs w:val="28"/>
          <w:lang w:eastAsia="en-US"/>
        </w:rPr>
        <w:t xml:space="preserve">                     Н.С. Хозяинова</w:t>
      </w:r>
    </w:p>
    <w:p w:rsidR="009E3E93" w:rsidRPr="009E3E93" w:rsidRDefault="009E3E93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1E5D22" w:rsidRPr="009E3E93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9E3E93">
        <w:rPr>
          <w:sz w:val="28"/>
          <w:szCs w:val="28"/>
          <w:lang w:eastAsia="en-US"/>
        </w:rPr>
        <w:t xml:space="preserve">Председатель Совета  </w:t>
      </w:r>
    </w:p>
    <w:p w:rsidR="00E2616D" w:rsidRPr="009E3E93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9E3E93">
        <w:rPr>
          <w:sz w:val="28"/>
          <w:szCs w:val="28"/>
          <w:lang w:eastAsia="en-US"/>
        </w:rPr>
        <w:t xml:space="preserve">МО ГО </w:t>
      </w:r>
      <w:r w:rsidR="00745BC3" w:rsidRPr="009E3E93">
        <w:rPr>
          <w:sz w:val="28"/>
          <w:szCs w:val="28"/>
          <w:lang w:eastAsia="en-US"/>
        </w:rPr>
        <w:t>«</w:t>
      </w:r>
      <w:r w:rsidRPr="009E3E93">
        <w:rPr>
          <w:sz w:val="28"/>
          <w:szCs w:val="28"/>
          <w:lang w:eastAsia="en-US"/>
        </w:rPr>
        <w:t>Сыктывкар</w:t>
      </w:r>
      <w:r w:rsidR="00745BC3" w:rsidRPr="009E3E93">
        <w:rPr>
          <w:sz w:val="28"/>
          <w:szCs w:val="28"/>
          <w:lang w:eastAsia="en-US"/>
        </w:rPr>
        <w:t>»</w:t>
      </w:r>
      <w:r w:rsidRPr="009E3E93">
        <w:rPr>
          <w:sz w:val="28"/>
          <w:szCs w:val="28"/>
          <w:lang w:eastAsia="en-US"/>
        </w:rPr>
        <w:t xml:space="preserve">                                                                     А.Ф. Дю</w:t>
      </w: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B538C" w:rsidRDefault="00EB538C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A0390F" w:rsidRDefault="00A0390F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390F" w:rsidRDefault="00A0390F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390F" w:rsidRDefault="00A0390F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lastRenderedPageBreak/>
        <w:t xml:space="preserve">Приложение № 1 к решению 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 xml:space="preserve">Совета МО ГО «Сыктывкар» </w:t>
      </w:r>
    </w:p>
    <w:p w:rsidR="00EB538C" w:rsidRPr="00EB538C" w:rsidRDefault="00EB538C" w:rsidP="00EB538C">
      <w:pPr>
        <w:shd w:val="clear" w:color="auto" w:fill="FFFFFF"/>
        <w:jc w:val="right"/>
        <w:rPr>
          <w:sz w:val="28"/>
          <w:szCs w:val="28"/>
        </w:rPr>
      </w:pPr>
      <w:r w:rsidRPr="00EB538C">
        <w:rPr>
          <w:sz w:val="28"/>
          <w:szCs w:val="28"/>
        </w:rPr>
        <w:t xml:space="preserve">от </w:t>
      </w:r>
      <w:r w:rsidR="00870C7F">
        <w:rPr>
          <w:sz w:val="28"/>
          <w:szCs w:val="28"/>
        </w:rPr>
        <w:t>20</w:t>
      </w:r>
      <w:r w:rsidR="00366DC2">
        <w:rPr>
          <w:sz w:val="28"/>
          <w:szCs w:val="28"/>
        </w:rPr>
        <w:t>.1</w:t>
      </w:r>
      <w:r w:rsidR="00870C7F">
        <w:rPr>
          <w:sz w:val="28"/>
          <w:szCs w:val="28"/>
        </w:rPr>
        <w:t>0</w:t>
      </w:r>
      <w:r w:rsidR="00366DC2">
        <w:rPr>
          <w:sz w:val="28"/>
          <w:szCs w:val="28"/>
        </w:rPr>
        <w:t>.</w:t>
      </w:r>
      <w:r w:rsidRPr="00EB538C">
        <w:rPr>
          <w:sz w:val="28"/>
          <w:szCs w:val="28"/>
        </w:rPr>
        <w:t>2020 г. №</w:t>
      </w:r>
      <w:r w:rsidR="005F2C9C">
        <w:rPr>
          <w:sz w:val="28"/>
          <w:szCs w:val="28"/>
        </w:rPr>
        <w:t xml:space="preserve"> </w:t>
      </w:r>
      <w:r w:rsidR="00366DC2">
        <w:rPr>
          <w:sz w:val="28"/>
          <w:szCs w:val="28"/>
        </w:rPr>
        <w:t>2/2020-</w:t>
      </w:r>
      <w:r w:rsidR="00A44B60">
        <w:rPr>
          <w:sz w:val="28"/>
          <w:szCs w:val="28"/>
        </w:rPr>
        <w:t>23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38C" w:rsidRPr="00EB538C" w:rsidRDefault="00EB538C" w:rsidP="00A039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>«Приложение № 1</w:t>
      </w:r>
      <w:r w:rsidR="00CF6860">
        <w:rPr>
          <w:sz w:val="28"/>
          <w:szCs w:val="28"/>
        </w:rPr>
        <w:t xml:space="preserve"> </w:t>
      </w:r>
      <w:r w:rsidRPr="00EB538C">
        <w:rPr>
          <w:sz w:val="28"/>
          <w:szCs w:val="28"/>
        </w:rPr>
        <w:t>к решению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538C">
        <w:rPr>
          <w:sz w:val="28"/>
          <w:szCs w:val="28"/>
        </w:rPr>
        <w:t>Совета МО ГО «Сыктывкар»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538C">
        <w:rPr>
          <w:sz w:val="28"/>
          <w:szCs w:val="28"/>
        </w:rPr>
        <w:t>от 10</w:t>
      </w:r>
      <w:r w:rsidR="00A0390F">
        <w:rPr>
          <w:sz w:val="28"/>
          <w:szCs w:val="28"/>
        </w:rPr>
        <w:t>.12.</w:t>
      </w:r>
      <w:r w:rsidRPr="00EB538C">
        <w:rPr>
          <w:sz w:val="28"/>
          <w:szCs w:val="28"/>
        </w:rPr>
        <w:t>2007 г. № 6/12-131</w:t>
      </w: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538C">
        <w:rPr>
          <w:b/>
          <w:sz w:val="28"/>
          <w:szCs w:val="28"/>
        </w:rPr>
        <w:t xml:space="preserve">ПОЛОЖЕНИЕ О ПОРЯДКЕ ВЕДЕНИЯ </w:t>
      </w: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538C">
        <w:rPr>
          <w:b/>
          <w:sz w:val="28"/>
          <w:szCs w:val="28"/>
        </w:rPr>
        <w:t xml:space="preserve">РЕЕСТРА МУНИЦИПАЛЬНЫХ СЛУЖАЩИХ </w:t>
      </w: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B538C">
        <w:rPr>
          <w:b/>
          <w:sz w:val="28"/>
          <w:szCs w:val="28"/>
        </w:rPr>
        <w:t xml:space="preserve">МУНИЦИПАЛЬНОГО ОБРАЗОВАНИЯ ГОРОДСКОГО ОКРУГА «СЫКТЫВКАР» </w:t>
      </w: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>1. ОБЩИЕ ПОЛОЖЕНИЯ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</w:t>
      </w:r>
      <w:r w:rsidRPr="00EB538C">
        <w:rPr>
          <w:sz w:val="28"/>
          <w:szCs w:val="28"/>
          <w:shd w:val="clear" w:color="auto" w:fill="FFFFFF"/>
        </w:rPr>
        <w:t>.1. Настоящее Положение устанавливает единый порядок формирования и ведения Реестра муниципальных служащих муниципального образования городского округа «Сыктывкар».</w:t>
      </w:r>
    </w:p>
    <w:p w:rsidR="00EB538C" w:rsidRPr="00EB538C" w:rsidRDefault="00EB538C" w:rsidP="00EB53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1.2. Реестр муниципальных служащих муниципального образования городского округа «Сыктывкар»</w:t>
      </w:r>
      <w:r w:rsidRPr="00EB538C">
        <w:rPr>
          <w:sz w:val="28"/>
          <w:szCs w:val="28"/>
          <w:shd w:val="clear" w:color="auto" w:fill="FFFFFF"/>
        </w:rPr>
        <w:t xml:space="preserve"> (далее </w:t>
      </w:r>
      <w:r w:rsidRPr="00EB538C">
        <w:rPr>
          <w:color w:val="000000"/>
          <w:sz w:val="28"/>
          <w:szCs w:val="28"/>
        </w:rPr>
        <w:t>–</w:t>
      </w:r>
      <w:r w:rsidRPr="00EB538C">
        <w:rPr>
          <w:sz w:val="28"/>
          <w:szCs w:val="28"/>
          <w:shd w:val="clear" w:color="auto" w:fill="FFFFFF"/>
        </w:rPr>
        <w:t xml:space="preserve"> Реестр)</w:t>
      </w:r>
      <w:r w:rsidRPr="00EB538C">
        <w:rPr>
          <w:sz w:val="28"/>
          <w:szCs w:val="28"/>
        </w:rPr>
        <w:t xml:space="preserve"> </w:t>
      </w:r>
      <w:r w:rsidRPr="00EB538C">
        <w:rPr>
          <w:color w:val="000000"/>
          <w:sz w:val="28"/>
          <w:szCs w:val="28"/>
        </w:rPr>
        <w:t>–</w:t>
      </w:r>
      <w:r w:rsidRPr="00EB538C">
        <w:rPr>
          <w:sz w:val="28"/>
          <w:szCs w:val="28"/>
        </w:rPr>
        <w:t xml:space="preserve"> официальный документ муниципального образования городского округа «Сыктывкар», который представляет собой сводный перечень сведений о муниципальных служащих, замещающих должности муниципальной службы органов местного самоуправления муниципального образования городского округа «Сыктывкар», содержащий их основные анкетно-биографические и профессионально-квалификационные данные.</w:t>
      </w:r>
    </w:p>
    <w:p w:rsidR="00EB538C" w:rsidRPr="00EB538C" w:rsidRDefault="00EB538C" w:rsidP="00EB538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38C">
        <w:rPr>
          <w:sz w:val="28"/>
          <w:szCs w:val="28"/>
        </w:rPr>
        <w:t xml:space="preserve">1.3. Цель ведения Реестра </w:t>
      </w:r>
      <w:r w:rsidRPr="00EB538C">
        <w:rPr>
          <w:color w:val="000000"/>
          <w:sz w:val="28"/>
          <w:szCs w:val="28"/>
        </w:rPr>
        <w:t>–</w:t>
      </w:r>
      <w:r w:rsidRPr="00EB538C">
        <w:rPr>
          <w:sz w:val="28"/>
          <w:szCs w:val="28"/>
        </w:rPr>
        <w:t xml:space="preserve"> организация учета прохождения муниципальной службы муниципальными служащими муниципального образования городского округа «Сыктывкар», совершенствование работы по подбору и расстановке кадров в муниципальном образовании городского округа «Сыктывкар».</w:t>
      </w:r>
    </w:p>
    <w:p w:rsidR="00EB538C" w:rsidRPr="00EB538C" w:rsidRDefault="00EB538C" w:rsidP="00EB538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38C">
        <w:rPr>
          <w:sz w:val="28"/>
          <w:szCs w:val="28"/>
        </w:rPr>
        <w:t xml:space="preserve">1.4. </w:t>
      </w:r>
      <w:r w:rsidRPr="00EB538C">
        <w:rPr>
          <w:sz w:val="28"/>
          <w:szCs w:val="28"/>
          <w:shd w:val="clear" w:color="auto" w:fill="FFFFFF"/>
        </w:rPr>
        <w:t>Муниципальный служащий имеет право на ознакомление со всеми сведениями о нем, включенными в Реестр.</w:t>
      </w:r>
    </w:p>
    <w:p w:rsidR="00EB538C" w:rsidRPr="00EB538C" w:rsidRDefault="00EB538C" w:rsidP="00EB538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>2. СТРУКТУРА РЕЕСТРА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2.1. Реестр составляется в табличной форме.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2.2. В графы таблицы вносятся следующие данные: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1) порядковый номер записи;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2) наименование подразделения, занимаемая должность, группа должностей;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lastRenderedPageBreak/>
        <w:t>3) фамилия, имя, отчество лица, замещающего должность муниципальной службы;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4) число, месяц и год рождения;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5) образование (какие образовательные организации окончил, когда, специальность, квалификация);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6) ученая степень, ученое звание;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7) общий стаж работы;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8) стаж муниципальной службы;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9) классный чин муниципальной службы, дата присвоения;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10) дополнительное профессиональное образование: программа повышения квалификации (дата окончания обучения, наименование дополнительной профессиональной программы, количество часов);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11) дополнительное профессиональное образование: программа профессиональной переподготовки (дата окончания обучения, наименование дополнительной профессиональной программы, количество часов);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12) наименование образовательной организации, в которой обучается в настоящее время;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13) дата проведения аттестации, решение;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14) отметка о нахождении в отпуске по беременности и родам, отпуске по уходу за ребенком;</w:t>
      </w:r>
    </w:p>
    <w:p w:rsidR="00EB538C" w:rsidRPr="00EB538C" w:rsidRDefault="00EB538C" w:rsidP="00EB53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15) отметка о замещении должности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2.3. В графе 5 «Образование» указывается, какие образовательные организации окончил, когда, специальность, квалификация в соответствии с документом об образовании и (или) о квалификации. При наличии среднего профессионального образования и высшего образования вносятся сведения только о высшем образовании. При наличии двух и более высших образований у муниципального служащего данные сведения перечисляются в хронологическом порядке.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2.4. Общий стаж работы и стаж муниципальной службы в графах 7 и 8 рассчитывается по состоянию на 1 января года, следующего за отчетным.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2.5. В графу 11 «Программа повышения квалификации» вносятся сведения о дате окончания обучения, наименование дополнительной профессиональной программы, количество часов (не менее 16 часов) в соответствии с удостоверением о повышении квалификации.</w:t>
      </w:r>
    </w:p>
    <w:p w:rsidR="00EB538C" w:rsidRDefault="00EB538C" w:rsidP="00EB53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 xml:space="preserve">2.6. В графе 12 «Программа профессиональной переподготовки» указывается дата окончания профессиональной переподготовки, наименование дополнительной профессиональной </w:t>
      </w:r>
      <w:r w:rsidRPr="00EB538C">
        <w:rPr>
          <w:sz w:val="28"/>
          <w:szCs w:val="28"/>
          <w:shd w:val="clear" w:color="auto" w:fill="FFFFFF"/>
        </w:rPr>
        <w:t xml:space="preserve">программы, </w:t>
      </w:r>
      <w:r w:rsidRPr="00EB538C">
        <w:rPr>
          <w:sz w:val="28"/>
          <w:szCs w:val="28"/>
        </w:rPr>
        <w:t>количество часов (не менее 500 часов) в соответствии с дипломом о профессиональной переподготовке.</w:t>
      </w:r>
    </w:p>
    <w:p w:rsidR="00C36C20" w:rsidRPr="00EB538C" w:rsidRDefault="00C36C20" w:rsidP="00EB53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>3. ПОРЯДОК ФОРМИРОВАНИЯ И ВЕДЕНИЯ РЕЕСТРА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lastRenderedPageBreak/>
        <w:t>3.1. Сведения, включаемые в Реестр, формируются кадровыми службами органов местного самоуправления муниципального образования городского округа «Сыктывкар». Для своевременного и достоверного внесения персональных данных муниципальных служащих в электронную программу «Реестр муниципальных служащих МО ГО «Сыктывкар» назначается ответственное лицо (оператор Реестра). Обязанность своевременного и достоверного представления персональных данных муниципальных служащих закрепляется в должностной инструкции оператора Реестра.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3.2. Координация деятельности органов местного самоуправления муниципального образования городского округа «Сыктывкар» по формированию сведений, включаемых в Реестр, возлагается на администрацию муниципального образования городского округа «Сыктывкар».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3.3. 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 «Реестр муниципальных служащих МО ГО «Сыктывкар») с обеспечением защиты от несанкционированного доступа и копирования.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3.4. Реестр формируется на основании данных, содержащихся в личном деле муниципального служащего.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3.5. Все листы Реестра имеют собственную нумерацию.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3.6.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3.7. Муниципальный служащий, уволенный с муниципальной службы, исключается из Реестра в день увольнения.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EB538C" w:rsidRPr="00EB538C" w:rsidRDefault="00EB538C" w:rsidP="00EB53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38C">
        <w:rPr>
          <w:sz w:val="28"/>
          <w:szCs w:val="28"/>
        </w:rPr>
        <w:t xml:space="preserve">3.8. Оператор Реестра вносит сведения о гражданине, назначенном на должность муниципальной службы, и об изменениях учетных данных муниципальных служащих в электронную программу «Реестр муниципальных служащих МО ГО «Сыктывкар» не позднее 5 рабочих дней и представляет на бумажном носителе в управление муниципальной службы, кадров и противодействия коррупции администрации муниципального образования городского округа «Сыктывкар» не позднее одного месяца со дня назначения гражданина на должность муниципальной службы или со дня изменения учетных данных муниципального служащего: </w:t>
      </w:r>
    </w:p>
    <w:p w:rsidR="00EB538C" w:rsidRPr="00EB538C" w:rsidRDefault="00EB538C" w:rsidP="00EB538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 xml:space="preserve">а) при назначении муниципального служащего на должность муниципальной службы – по </w:t>
      </w:r>
      <w:hyperlink r:id="rId15" w:history="1">
        <w:r w:rsidRPr="00EB538C">
          <w:rPr>
            <w:sz w:val="28"/>
            <w:szCs w:val="28"/>
          </w:rPr>
          <w:t>форме</w:t>
        </w:r>
      </w:hyperlink>
      <w:r w:rsidRPr="00EB538C">
        <w:rPr>
          <w:sz w:val="28"/>
          <w:szCs w:val="28"/>
        </w:rPr>
        <w:t xml:space="preserve"> согласно приложению 1 к настоящему Порядку;</w:t>
      </w:r>
    </w:p>
    <w:p w:rsidR="00EB538C" w:rsidRPr="00EB538C" w:rsidRDefault="00EB538C" w:rsidP="00EB538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 xml:space="preserve">б) при внесении иных изменений о муниципальных служащих в Реестр – по </w:t>
      </w:r>
      <w:hyperlink r:id="rId16" w:history="1">
        <w:r w:rsidRPr="00EB538C">
          <w:rPr>
            <w:sz w:val="28"/>
            <w:szCs w:val="28"/>
          </w:rPr>
          <w:t>форме</w:t>
        </w:r>
      </w:hyperlink>
      <w:r w:rsidRPr="00EB538C">
        <w:rPr>
          <w:sz w:val="28"/>
          <w:szCs w:val="28"/>
        </w:rPr>
        <w:t xml:space="preserve"> согласно приложению 2 к настоящему Порядку.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lastRenderedPageBreak/>
        <w:t>9. Информация, содержащаяся в Реестре, используется для проведения анализа кадрового состава гражданской службы и выработки предложений по реализации кадровой политики в Республике Коми.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3.9. Ежегодно к 15 декабря для формирования Реестра муниципальных служащих муниципального образования городского округа «Сыктывкар» в управление муниципальной службы, кадров и противодействия коррупции администрации муниципального образования городского округа «Сыктывкар» представляются реестры муниципальных служащих органов местного самоуправления муниципального образования городского округа «Сыктывкар» и отраслевых (функциональных) и территориальных органов администрации МО ГО «Сыктывкар», подписанные руководителем органа и заверенные гербовой печатью, по форме «Реестр муниципальных служащих муниципального образования городского округа «Сыктывкар»».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3.10. Реестр муниципальных служащих муниципального образования городского округа «Сыктывкар» составляется ежегодно по состоянию на 1 января года, следующего за отчетным, на бумажном носителе и утверждается главой МО ГО «Сыктывкар» - руководителем администрации. Утвержденный Реестр хранится в администрации муниципального образования городского округа «Сыктывкар»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EB538C" w:rsidRPr="00EB538C" w:rsidRDefault="00EB538C" w:rsidP="00EB538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 xml:space="preserve">3.11.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</w:t>
      </w:r>
      <w:r w:rsidR="00366DC2" w:rsidRPr="00EB538C">
        <w:rPr>
          <w:sz w:val="28"/>
          <w:szCs w:val="28"/>
        </w:rPr>
        <w:t>федеральным законодательством</w:t>
      </w:r>
      <w:r w:rsidRPr="00EB538C">
        <w:rPr>
          <w:sz w:val="28"/>
          <w:szCs w:val="28"/>
        </w:rPr>
        <w:t>.</w:t>
      </w: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>4. ОТВЕТСТВЕННОСТЬ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Операторы Реестра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данные.».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EB538C" w:rsidRPr="00EB538C" w:rsidSect="008D7A60">
          <w:footerReference w:type="even" r:id="rId17"/>
          <w:pgSz w:w="11906" w:h="16838"/>
          <w:pgMar w:top="568" w:right="850" w:bottom="1134" w:left="1701" w:header="709" w:footer="709" w:gutter="0"/>
          <w:cols w:space="708"/>
          <w:titlePg/>
          <w:docGrid w:linePitch="360"/>
        </w:sectPr>
      </w:pP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lastRenderedPageBreak/>
        <w:t xml:space="preserve">Приложение № 2 к решению 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 xml:space="preserve">Совета МО ГО «Сыктывкар» </w:t>
      </w:r>
    </w:p>
    <w:p w:rsidR="00EB538C" w:rsidRPr="00EB538C" w:rsidRDefault="00EB538C" w:rsidP="00EB538C">
      <w:pPr>
        <w:shd w:val="clear" w:color="auto" w:fill="FFFFFF"/>
        <w:jc w:val="right"/>
        <w:rPr>
          <w:sz w:val="28"/>
          <w:szCs w:val="28"/>
        </w:rPr>
      </w:pPr>
      <w:r w:rsidRPr="00EB538C">
        <w:rPr>
          <w:sz w:val="28"/>
          <w:szCs w:val="28"/>
        </w:rPr>
        <w:t xml:space="preserve">от </w:t>
      </w:r>
      <w:r w:rsidR="00CF6860">
        <w:rPr>
          <w:sz w:val="28"/>
          <w:szCs w:val="28"/>
        </w:rPr>
        <w:t>20</w:t>
      </w:r>
      <w:r w:rsidR="00366DC2">
        <w:rPr>
          <w:sz w:val="28"/>
          <w:szCs w:val="28"/>
        </w:rPr>
        <w:t>.1</w:t>
      </w:r>
      <w:r w:rsidR="00CF6860">
        <w:rPr>
          <w:sz w:val="28"/>
          <w:szCs w:val="28"/>
        </w:rPr>
        <w:t>0</w:t>
      </w:r>
      <w:r w:rsidR="00366DC2">
        <w:rPr>
          <w:sz w:val="28"/>
          <w:szCs w:val="28"/>
        </w:rPr>
        <w:t>.</w:t>
      </w:r>
      <w:r w:rsidRPr="00EB538C">
        <w:rPr>
          <w:sz w:val="28"/>
          <w:szCs w:val="28"/>
        </w:rPr>
        <w:t>2020 г. №</w:t>
      </w:r>
      <w:r w:rsidR="005F2C9C">
        <w:rPr>
          <w:sz w:val="28"/>
          <w:szCs w:val="28"/>
        </w:rPr>
        <w:t xml:space="preserve"> </w:t>
      </w:r>
      <w:bookmarkStart w:id="0" w:name="_GoBack"/>
      <w:bookmarkEnd w:id="0"/>
      <w:r w:rsidR="00366DC2">
        <w:rPr>
          <w:sz w:val="28"/>
          <w:szCs w:val="28"/>
        </w:rPr>
        <w:t>2/2020-</w:t>
      </w:r>
      <w:r w:rsidR="00A44B60">
        <w:rPr>
          <w:sz w:val="28"/>
          <w:szCs w:val="28"/>
        </w:rPr>
        <w:t>23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>«Приложение № 2 к решению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538C">
        <w:rPr>
          <w:sz w:val="28"/>
          <w:szCs w:val="28"/>
        </w:rPr>
        <w:t>Совета МО ГО «Сыктывкар»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EB538C">
        <w:rPr>
          <w:sz w:val="28"/>
          <w:szCs w:val="28"/>
        </w:rPr>
        <w:t>от 10</w:t>
      </w:r>
      <w:r w:rsidR="00D45AD2">
        <w:rPr>
          <w:sz w:val="28"/>
          <w:szCs w:val="28"/>
        </w:rPr>
        <w:t>.12.</w:t>
      </w:r>
      <w:r w:rsidRPr="00EB538C">
        <w:rPr>
          <w:sz w:val="28"/>
          <w:szCs w:val="28"/>
        </w:rPr>
        <w:t>2007 г. № 6/12-131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538C">
        <w:rPr>
          <w:sz w:val="28"/>
          <w:szCs w:val="28"/>
        </w:rPr>
        <w:t>РЕЕСТР</w:t>
      </w:r>
    </w:p>
    <w:p w:rsidR="00EB538C" w:rsidRPr="00EB538C" w:rsidRDefault="00EB538C" w:rsidP="00EB53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538C">
        <w:rPr>
          <w:sz w:val="28"/>
          <w:szCs w:val="28"/>
        </w:rPr>
        <w:t>муниципальных служащих муниципального образования городского округа «Сыктывкар»</w:t>
      </w:r>
    </w:p>
    <w:p w:rsidR="00EB538C" w:rsidRPr="00EB538C" w:rsidRDefault="00EB538C" w:rsidP="00EB53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538C">
        <w:rPr>
          <w:sz w:val="28"/>
          <w:szCs w:val="28"/>
        </w:rPr>
        <w:t>по состоянию на 1 января _______ года</w:t>
      </w:r>
    </w:p>
    <w:p w:rsidR="00EB538C" w:rsidRPr="00EB538C" w:rsidRDefault="00EB538C" w:rsidP="00EB538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308" w:type="dxa"/>
        <w:tblInd w:w="27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7"/>
        <w:gridCol w:w="1578"/>
        <w:gridCol w:w="1285"/>
        <w:gridCol w:w="840"/>
        <w:gridCol w:w="1092"/>
        <w:gridCol w:w="840"/>
        <w:gridCol w:w="672"/>
        <w:gridCol w:w="756"/>
        <w:gridCol w:w="1008"/>
        <w:gridCol w:w="1312"/>
        <w:gridCol w:w="1134"/>
        <w:gridCol w:w="1008"/>
        <w:gridCol w:w="1092"/>
        <w:gridCol w:w="1008"/>
        <w:gridCol w:w="1096"/>
      </w:tblGrid>
      <w:tr w:rsidR="00EB538C" w:rsidRPr="00EB538C" w:rsidTr="008977D2">
        <w:trPr>
          <w:trHeight w:val="16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№ п/п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Наименование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подразделения,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занимаемая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должность,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группа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должностей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Фамилия,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имя,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отчество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лица,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замещающего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должность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муниципальной службы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Число,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месяц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и год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рождения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Образование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(какие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образовательные организации окончил,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когда,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специаль-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ность,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квалифика-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ция)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Ученая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степень,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ученое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звание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Общий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стаж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работы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Стаж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муници-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пальной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службы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Классный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чин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муници-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пальной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службы,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дата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присвоения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Дополнительное</w:t>
            </w:r>
            <w:r w:rsidRPr="00EB538C">
              <w:rPr>
                <w:sz w:val="18"/>
                <w:szCs w:val="18"/>
                <w:shd w:val="clear" w:color="auto" w:fill="DBE5F1"/>
              </w:rPr>
              <w:t xml:space="preserve"> </w:t>
            </w:r>
            <w:r w:rsidRPr="00EB538C">
              <w:rPr>
                <w:sz w:val="18"/>
                <w:szCs w:val="18"/>
              </w:rPr>
              <w:t>профессиональное образование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Наименова-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ние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образовател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ьной организации,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в которой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обучается в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настоящее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время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Дата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проведения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аттестации,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решение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Отметка о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нахождении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в отпуске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по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беремен-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ности и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родам, отпуске по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уходу за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ребенком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Отметка о замещении должности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</w:t>
            </w:r>
            <w:r w:rsidRPr="00EB538C">
              <w:rPr>
                <w:sz w:val="18"/>
                <w:szCs w:val="18"/>
              </w:rPr>
              <w:lastRenderedPageBreak/>
              <w:t>ми актами, трудовым договором сохраняется место работы</w:t>
            </w: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Программа повышения квалификации (дата окончания обучения, наименование дополнительной профессиональной программы, количество часов)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Программа профессиональной переподготовки (дата окончания обучения, наименование дополнительной профессиональной программы, количество часов)</w:t>
            </w: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12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14</w:t>
            </w: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15</w:t>
            </w:r>
          </w:p>
        </w:tc>
      </w:tr>
      <w:tr w:rsidR="00EB538C" w:rsidRPr="00EB538C" w:rsidTr="008977D2">
        <w:trPr>
          <w:trHeight w:val="160"/>
        </w:trPr>
        <w:tc>
          <w:tcPr>
            <w:tcW w:w="1530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1. Должности муниципальной службы в представительном органе</w:t>
            </w: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Главная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Ведущая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Старшая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Младшая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1530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2. Должности муниципальной службы в администрации (включая должности </w:t>
            </w:r>
            <w:r w:rsidR="00BB46AF" w:rsidRPr="00EB538C">
              <w:rPr>
                <w:sz w:val="18"/>
                <w:szCs w:val="18"/>
              </w:rPr>
              <w:t>муниципальной службы, замещаемые в отраслевых (функциональных) и территориальных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органах администрации)</w:t>
            </w: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Высшая 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Главная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Ведущая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2.4.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Старшая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Младшая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1530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3. Должности муниципальной службы в контрольном органе</w:t>
            </w: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3.1.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Высшая 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3.2.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Главная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3.3.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Ведущая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3.4.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Старшая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lastRenderedPageBreak/>
              <w:t xml:space="preserve">3.5.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Младшая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1530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>4. Должности муниципальной службы в ином органе местного самоуправления</w:t>
            </w: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Высшая 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Главная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Ведущая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Старшая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EB538C" w:rsidRPr="00EB538C" w:rsidTr="008977D2">
        <w:trPr>
          <w:trHeight w:val="1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Младшая       </w:t>
            </w:r>
          </w:p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B538C">
              <w:rPr>
                <w:sz w:val="18"/>
                <w:szCs w:val="18"/>
              </w:rPr>
              <w:t xml:space="preserve">должность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8C" w:rsidRPr="00EB538C" w:rsidRDefault="00EB538C" w:rsidP="00EB538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Примечания:</w:t>
      </w:r>
    </w:p>
    <w:p w:rsidR="00EB538C" w:rsidRPr="00EB538C" w:rsidRDefault="00EB538C" w:rsidP="00BB46AF">
      <w:pPr>
        <w:autoSpaceDE w:val="0"/>
        <w:autoSpaceDN w:val="0"/>
        <w:adjustRightInd w:val="0"/>
        <w:spacing w:before="260"/>
        <w:ind w:left="426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1. Официальная численность населения, проживающего на территории муниципального образования на 1 января _</w:t>
      </w:r>
      <w:r w:rsidR="00971200">
        <w:rPr>
          <w:sz w:val="28"/>
          <w:szCs w:val="28"/>
        </w:rPr>
        <w:t>__</w:t>
      </w:r>
      <w:r w:rsidRPr="00EB538C">
        <w:rPr>
          <w:sz w:val="28"/>
          <w:szCs w:val="28"/>
        </w:rPr>
        <w:t xml:space="preserve">_ г. - </w:t>
      </w:r>
      <w:r w:rsidR="00971200">
        <w:rPr>
          <w:sz w:val="28"/>
          <w:szCs w:val="28"/>
        </w:rPr>
        <w:t xml:space="preserve">                           </w:t>
      </w:r>
      <w:r w:rsidR="00340B87">
        <w:rPr>
          <w:sz w:val="28"/>
          <w:szCs w:val="28"/>
        </w:rPr>
        <w:t xml:space="preserve">   </w:t>
      </w:r>
      <w:r w:rsidRPr="00EB538C">
        <w:rPr>
          <w:sz w:val="28"/>
          <w:szCs w:val="28"/>
        </w:rPr>
        <w:t>____ человек.</w:t>
      </w:r>
    </w:p>
    <w:p w:rsidR="00EB538C" w:rsidRPr="00EB538C" w:rsidRDefault="00EB538C" w:rsidP="00BB46AF">
      <w:pPr>
        <w:autoSpaceDE w:val="0"/>
        <w:autoSpaceDN w:val="0"/>
        <w:adjustRightInd w:val="0"/>
        <w:spacing w:before="260"/>
        <w:ind w:left="426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2. Штатная численность муниципальных служащих на 1 января ____</w:t>
      </w:r>
      <w:r w:rsidR="00340B87">
        <w:rPr>
          <w:sz w:val="28"/>
          <w:szCs w:val="28"/>
        </w:rPr>
        <w:t>__</w:t>
      </w:r>
      <w:r w:rsidRPr="00EB538C">
        <w:rPr>
          <w:sz w:val="28"/>
          <w:szCs w:val="28"/>
        </w:rPr>
        <w:t xml:space="preserve"> г. - ____ человек.</w:t>
      </w:r>
    </w:p>
    <w:p w:rsidR="00EB538C" w:rsidRPr="00EB538C" w:rsidRDefault="00EB538C" w:rsidP="00BB46AF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B538C">
        <w:rPr>
          <w:sz w:val="28"/>
          <w:szCs w:val="28"/>
        </w:rPr>
        <w:t>3. Фактическая численность муниципальных служащих на 1 января _</w:t>
      </w:r>
      <w:r w:rsidR="00340B87">
        <w:rPr>
          <w:sz w:val="28"/>
          <w:szCs w:val="28"/>
        </w:rPr>
        <w:t>__</w:t>
      </w:r>
      <w:r w:rsidRPr="00EB538C">
        <w:rPr>
          <w:sz w:val="28"/>
          <w:szCs w:val="28"/>
        </w:rPr>
        <w:t>___ г. - ____ человек.».</w:t>
      </w:r>
    </w:p>
    <w:p w:rsidR="00EB538C" w:rsidRPr="00EB538C" w:rsidRDefault="00EB538C" w:rsidP="00BB46AF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  <w:sectPr w:rsidR="00EB538C" w:rsidRPr="00EB538C" w:rsidSect="008D7A60">
          <w:pgSz w:w="16838" w:h="11906" w:orient="landscape"/>
          <w:pgMar w:top="426" w:right="851" w:bottom="748" w:left="709" w:header="709" w:footer="709" w:gutter="0"/>
          <w:cols w:space="708"/>
          <w:titlePg/>
          <w:docGrid w:linePitch="360"/>
        </w:sectPr>
      </w:pP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lastRenderedPageBreak/>
        <w:t xml:space="preserve">Приложение № 3 к решению 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 xml:space="preserve">Совета МО ГО «Сыктывкар» </w:t>
      </w:r>
    </w:p>
    <w:p w:rsidR="00EB538C" w:rsidRPr="00EB538C" w:rsidRDefault="00EB538C" w:rsidP="00EB538C">
      <w:pPr>
        <w:shd w:val="clear" w:color="auto" w:fill="FFFFFF"/>
        <w:jc w:val="right"/>
        <w:rPr>
          <w:sz w:val="28"/>
          <w:szCs w:val="28"/>
        </w:rPr>
      </w:pPr>
      <w:r w:rsidRPr="00EB538C">
        <w:rPr>
          <w:sz w:val="28"/>
          <w:szCs w:val="28"/>
        </w:rPr>
        <w:t xml:space="preserve">от </w:t>
      </w:r>
      <w:r w:rsidR="00EB5636">
        <w:rPr>
          <w:sz w:val="28"/>
          <w:szCs w:val="28"/>
        </w:rPr>
        <w:t>20</w:t>
      </w:r>
      <w:r w:rsidR="00401F62">
        <w:rPr>
          <w:sz w:val="28"/>
          <w:szCs w:val="28"/>
        </w:rPr>
        <w:t>.1</w:t>
      </w:r>
      <w:r w:rsidR="00EB5636">
        <w:rPr>
          <w:sz w:val="28"/>
          <w:szCs w:val="28"/>
        </w:rPr>
        <w:t>0</w:t>
      </w:r>
      <w:r w:rsidR="00401F62">
        <w:rPr>
          <w:sz w:val="28"/>
          <w:szCs w:val="28"/>
        </w:rPr>
        <w:t>.</w:t>
      </w:r>
      <w:r w:rsidRPr="00EB538C">
        <w:rPr>
          <w:sz w:val="28"/>
          <w:szCs w:val="28"/>
        </w:rPr>
        <w:t>2020 г. №</w:t>
      </w:r>
      <w:r w:rsidR="001C2F54">
        <w:rPr>
          <w:sz w:val="28"/>
          <w:szCs w:val="28"/>
        </w:rPr>
        <w:t xml:space="preserve"> </w:t>
      </w:r>
      <w:r w:rsidR="00401F62">
        <w:rPr>
          <w:sz w:val="28"/>
          <w:szCs w:val="28"/>
        </w:rPr>
        <w:t>2/2020-</w:t>
      </w:r>
      <w:r w:rsidR="00A44B60">
        <w:rPr>
          <w:sz w:val="28"/>
          <w:szCs w:val="28"/>
        </w:rPr>
        <w:t>23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 xml:space="preserve">«Приложение № 3 к решению </w:t>
      </w:r>
    </w:p>
    <w:p w:rsidR="00EB538C" w:rsidRPr="00EB538C" w:rsidRDefault="00EB538C" w:rsidP="00EB53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B538C">
        <w:rPr>
          <w:sz w:val="28"/>
          <w:szCs w:val="28"/>
        </w:rPr>
        <w:t xml:space="preserve">Совета МО ГО «Сыктывкар» 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EB538C">
        <w:rPr>
          <w:sz w:val="28"/>
          <w:szCs w:val="28"/>
        </w:rPr>
        <w:t>от 10</w:t>
      </w:r>
      <w:r w:rsidR="00340B87">
        <w:rPr>
          <w:sz w:val="28"/>
          <w:szCs w:val="28"/>
        </w:rPr>
        <w:t>.12.</w:t>
      </w:r>
      <w:r w:rsidRPr="00EB538C">
        <w:rPr>
          <w:sz w:val="28"/>
          <w:szCs w:val="28"/>
        </w:rPr>
        <w:t>2007 г. № 6/12-131</w:t>
      </w:r>
    </w:p>
    <w:p w:rsidR="00EB538C" w:rsidRPr="00EB538C" w:rsidRDefault="00EB538C" w:rsidP="00EB5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38C" w:rsidRPr="00C946C1" w:rsidRDefault="00EB538C" w:rsidP="00EB538C">
      <w:pPr>
        <w:suppressAutoHyphens/>
        <w:autoSpaceDE w:val="0"/>
        <w:autoSpaceDN w:val="0"/>
        <w:jc w:val="both"/>
        <w:rPr>
          <w:sz w:val="28"/>
          <w:szCs w:val="28"/>
        </w:rPr>
      </w:pPr>
    </w:p>
    <w:p w:rsidR="00EB538C" w:rsidRPr="00EB538C" w:rsidRDefault="00EB538C" w:rsidP="00EB538C">
      <w:pPr>
        <w:suppressAutoHyphens/>
        <w:autoSpaceDE w:val="0"/>
        <w:autoSpaceDN w:val="0"/>
        <w:jc w:val="center"/>
        <w:rPr>
          <w:bCs/>
          <w:sz w:val="28"/>
          <w:szCs w:val="28"/>
        </w:rPr>
      </w:pPr>
      <w:r w:rsidRPr="00EB538C">
        <w:rPr>
          <w:bCs/>
          <w:sz w:val="28"/>
          <w:szCs w:val="28"/>
        </w:rPr>
        <w:t xml:space="preserve">ИНФОРМАЦИЯ </w:t>
      </w:r>
    </w:p>
    <w:p w:rsidR="00EB538C" w:rsidRPr="00EB538C" w:rsidRDefault="00EB538C" w:rsidP="00EB538C">
      <w:pPr>
        <w:suppressAutoHyphens/>
        <w:autoSpaceDE w:val="0"/>
        <w:autoSpaceDN w:val="0"/>
        <w:jc w:val="center"/>
      </w:pPr>
      <w:r w:rsidRPr="00EB538C">
        <w:rPr>
          <w:sz w:val="28"/>
          <w:szCs w:val="28"/>
        </w:rPr>
        <w:t xml:space="preserve">об изменениях в Реестре муниципальных служащих муниципального образования городского округа «Сыктывкар» </w:t>
      </w:r>
      <w:r w:rsidRPr="00EB538C">
        <w:t xml:space="preserve"> </w:t>
      </w:r>
    </w:p>
    <w:p w:rsidR="00EB538C" w:rsidRPr="00EB538C" w:rsidRDefault="00EB538C" w:rsidP="00EB538C">
      <w:pPr>
        <w:suppressAutoHyphens/>
        <w:autoSpaceDE w:val="0"/>
        <w:autoSpaceDN w:val="0"/>
        <w:jc w:val="center"/>
      </w:pPr>
    </w:p>
    <w:tbl>
      <w:tblPr>
        <w:tblW w:w="0" w:type="auto"/>
        <w:tblInd w:w="110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6521"/>
        <w:gridCol w:w="1134"/>
      </w:tblGrid>
      <w:tr w:rsidR="00EB538C" w:rsidRPr="00EB538C" w:rsidTr="008977D2">
        <w:trPr>
          <w:gridBefore w:val="1"/>
          <w:gridAfter w:val="1"/>
          <w:wBefore w:w="283" w:type="dxa"/>
          <w:wAfter w:w="1134" w:type="dxa"/>
        </w:trPr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</w:p>
        </w:tc>
      </w:tr>
      <w:tr w:rsidR="00EB538C" w:rsidRPr="00EB538C" w:rsidTr="008977D2">
        <w:tc>
          <w:tcPr>
            <w:tcW w:w="7938" w:type="dxa"/>
            <w:gridSpan w:val="3"/>
            <w:tcBorders>
              <w:left w:val="nil"/>
              <w:bottom w:val="nil"/>
              <w:right w:val="nil"/>
            </w:tcBorders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(наименование органа местного самоуправления МО ГО «Сыктывкар»)</w:t>
            </w:r>
          </w:p>
        </w:tc>
      </w:tr>
    </w:tbl>
    <w:p w:rsidR="00EB538C" w:rsidRPr="00EB538C" w:rsidRDefault="00EB538C" w:rsidP="00EB538C">
      <w:pPr>
        <w:suppressAutoHyphens/>
        <w:autoSpaceDE w:val="0"/>
        <w:autoSpaceDN w:val="0"/>
        <w:jc w:val="both"/>
        <w:rPr>
          <w:b/>
          <w:bCs/>
        </w:rPr>
      </w:pPr>
    </w:p>
    <w:p w:rsidR="00EB538C" w:rsidRPr="00EB538C" w:rsidRDefault="00EB538C" w:rsidP="00EB538C">
      <w:pPr>
        <w:numPr>
          <w:ilvl w:val="0"/>
          <w:numId w:val="4"/>
        </w:numPr>
        <w:suppressAutoHyphens/>
        <w:autoSpaceDE w:val="0"/>
        <w:autoSpaceDN w:val="0"/>
        <w:jc w:val="both"/>
      </w:pPr>
      <w:r w:rsidRPr="00EB538C">
        <w:t xml:space="preserve">Сведения об исключении информации о муниципальных служащих </w:t>
      </w:r>
    </w:p>
    <w:p w:rsidR="00EB538C" w:rsidRPr="00EB538C" w:rsidRDefault="00EB538C" w:rsidP="00EB538C">
      <w:pPr>
        <w:suppressAutoHyphens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4505"/>
        <w:gridCol w:w="3747"/>
      </w:tblGrid>
      <w:tr w:rsidR="00EB538C" w:rsidRPr="00EB538C" w:rsidTr="008977D2">
        <w:tc>
          <w:tcPr>
            <w:tcW w:w="1779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Фа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ми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лия, имя, отчест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 xml:space="preserve">во </w:t>
            </w:r>
          </w:p>
        </w:tc>
        <w:tc>
          <w:tcPr>
            <w:tcW w:w="4505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Наи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но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ва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ние за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щае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мой дол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ж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ности муниципальной служ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 xml:space="preserve">бы </w:t>
            </w:r>
          </w:p>
        </w:tc>
        <w:tc>
          <w:tcPr>
            <w:tcW w:w="3747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Да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та прек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ра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ще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ния</w:t>
            </w:r>
          </w:p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 xml:space="preserve">трудового договора </w:t>
            </w:r>
          </w:p>
        </w:tc>
      </w:tr>
      <w:tr w:rsidR="00EB538C" w:rsidRPr="00EB538C" w:rsidTr="008977D2">
        <w:tc>
          <w:tcPr>
            <w:tcW w:w="1779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1</w:t>
            </w:r>
          </w:p>
        </w:tc>
        <w:tc>
          <w:tcPr>
            <w:tcW w:w="4505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2</w:t>
            </w:r>
          </w:p>
        </w:tc>
        <w:tc>
          <w:tcPr>
            <w:tcW w:w="3747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3</w:t>
            </w:r>
          </w:p>
        </w:tc>
      </w:tr>
      <w:tr w:rsidR="00EB538C" w:rsidRPr="00EB538C" w:rsidTr="008977D2">
        <w:tc>
          <w:tcPr>
            <w:tcW w:w="1779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505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747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EB538C" w:rsidRPr="00EB538C" w:rsidRDefault="00EB538C" w:rsidP="00EB538C">
      <w:pPr>
        <w:suppressAutoHyphens/>
        <w:autoSpaceDE w:val="0"/>
        <w:autoSpaceDN w:val="0"/>
        <w:ind w:firstLine="709"/>
        <w:jc w:val="center"/>
        <w:rPr>
          <w:b/>
          <w:bCs/>
        </w:rPr>
      </w:pPr>
    </w:p>
    <w:p w:rsidR="00EB538C" w:rsidRPr="00EB538C" w:rsidRDefault="00EB538C" w:rsidP="00EB538C">
      <w:pPr>
        <w:suppressAutoHyphens/>
        <w:autoSpaceDE w:val="0"/>
        <w:autoSpaceDN w:val="0"/>
        <w:ind w:left="360"/>
        <w:jc w:val="both"/>
      </w:pPr>
      <w:r w:rsidRPr="00EB538C">
        <w:rPr>
          <w:lang w:val="en-US"/>
        </w:rPr>
        <w:t>II</w:t>
      </w:r>
      <w:r w:rsidRPr="00EB538C">
        <w:t xml:space="preserve">. Изменение информации о муниципальных служащих </w:t>
      </w:r>
    </w:p>
    <w:p w:rsidR="00EB538C" w:rsidRPr="00EB538C" w:rsidRDefault="00EB538C" w:rsidP="00EB538C">
      <w:pPr>
        <w:suppressAutoHyphens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413"/>
        <w:gridCol w:w="3809"/>
      </w:tblGrid>
      <w:tr w:rsidR="00EB538C" w:rsidRPr="00EB538C" w:rsidTr="008977D2">
        <w:tc>
          <w:tcPr>
            <w:tcW w:w="1809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Фа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ми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лия,</w:t>
            </w:r>
          </w:p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 xml:space="preserve">имя, отчество </w:t>
            </w:r>
          </w:p>
        </w:tc>
        <w:tc>
          <w:tcPr>
            <w:tcW w:w="4413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Наи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но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ва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ние за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щае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мой долж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нос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ти муниципальной служ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бы</w:t>
            </w:r>
          </w:p>
        </w:tc>
        <w:tc>
          <w:tcPr>
            <w:tcW w:w="3809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Опи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са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ние вно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си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мых</w:t>
            </w:r>
          </w:p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изме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ний с ука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за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нием</w:t>
            </w:r>
          </w:p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но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ме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ра гра</w:t>
            </w:r>
            <w:r w:rsidRPr="00EB538C">
              <w:rPr>
                <w:rFonts w:ascii="Garamond" w:hAnsi="Garamond" w:cs="Garamond"/>
              </w:rPr>
              <w:softHyphen/>
            </w:r>
            <w:r w:rsidRPr="00EB538C">
              <w:t>фы Реестра муниципальных служащих муниципального образования городского округа «Сыктывкар»</w:t>
            </w:r>
          </w:p>
        </w:tc>
      </w:tr>
      <w:tr w:rsidR="00EB538C" w:rsidRPr="00EB538C" w:rsidTr="008977D2">
        <w:tc>
          <w:tcPr>
            <w:tcW w:w="1809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1</w:t>
            </w:r>
          </w:p>
        </w:tc>
        <w:tc>
          <w:tcPr>
            <w:tcW w:w="4413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2</w:t>
            </w:r>
          </w:p>
        </w:tc>
        <w:tc>
          <w:tcPr>
            <w:tcW w:w="3809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</w:pPr>
            <w:r w:rsidRPr="00EB538C">
              <w:t>3</w:t>
            </w:r>
          </w:p>
        </w:tc>
      </w:tr>
      <w:tr w:rsidR="00EB538C" w:rsidRPr="00EB538C" w:rsidTr="008977D2">
        <w:tc>
          <w:tcPr>
            <w:tcW w:w="1809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413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809" w:type="dxa"/>
          </w:tcPr>
          <w:p w:rsidR="00EB538C" w:rsidRPr="00EB538C" w:rsidRDefault="00EB538C" w:rsidP="00EB538C">
            <w:pPr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EB538C" w:rsidRDefault="00EB538C" w:rsidP="00904DF2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  <w:lang w:eastAsia="zh-CN"/>
        </w:rPr>
      </w:pPr>
      <w:r w:rsidRPr="00EB538C">
        <w:rPr>
          <w:color w:val="000000"/>
          <w:sz w:val="28"/>
          <w:szCs w:val="28"/>
        </w:rPr>
        <w:t>».</w:t>
      </w:r>
    </w:p>
    <w:sectPr w:rsidR="00EB538C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44" w:rsidRDefault="00CA1544">
      <w:r>
        <w:separator/>
      </w:r>
    </w:p>
  </w:endnote>
  <w:endnote w:type="continuationSeparator" w:id="0">
    <w:p w:rsidR="00CA1544" w:rsidRDefault="00CA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8C" w:rsidRDefault="00160F30" w:rsidP="00173B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5F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2F8C" w:rsidRDefault="00CA1544" w:rsidP="00586E4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44" w:rsidRDefault="00CA1544">
      <w:r>
        <w:separator/>
      </w:r>
    </w:p>
  </w:footnote>
  <w:footnote w:type="continuationSeparator" w:id="0">
    <w:p w:rsidR="00CA1544" w:rsidRDefault="00CA1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A46631"/>
    <w:multiLevelType w:val="hybridMultilevel"/>
    <w:tmpl w:val="0D7A8742"/>
    <w:lvl w:ilvl="0" w:tplc="A178F9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54B"/>
    <w:rsid w:val="00042A41"/>
    <w:rsid w:val="0007462A"/>
    <w:rsid w:val="00087FF1"/>
    <w:rsid w:val="00101534"/>
    <w:rsid w:val="001305F4"/>
    <w:rsid w:val="001439E5"/>
    <w:rsid w:val="00160F30"/>
    <w:rsid w:val="001871BD"/>
    <w:rsid w:val="00193587"/>
    <w:rsid w:val="001C2F54"/>
    <w:rsid w:val="001D25DA"/>
    <w:rsid w:val="001E5D22"/>
    <w:rsid w:val="002209DA"/>
    <w:rsid w:val="00230452"/>
    <w:rsid w:val="002F0124"/>
    <w:rsid w:val="003067BA"/>
    <w:rsid w:val="00340B87"/>
    <w:rsid w:val="0036175E"/>
    <w:rsid w:val="00363ABC"/>
    <w:rsid w:val="00366DC2"/>
    <w:rsid w:val="00376E42"/>
    <w:rsid w:val="003C4C3C"/>
    <w:rsid w:val="003D05BE"/>
    <w:rsid w:val="00401F62"/>
    <w:rsid w:val="004D4534"/>
    <w:rsid w:val="004D5410"/>
    <w:rsid w:val="004F7388"/>
    <w:rsid w:val="00540B7C"/>
    <w:rsid w:val="005C5FF9"/>
    <w:rsid w:val="005F2C9C"/>
    <w:rsid w:val="007453A5"/>
    <w:rsid w:val="00745BC3"/>
    <w:rsid w:val="00757FF2"/>
    <w:rsid w:val="007626E4"/>
    <w:rsid w:val="007852A7"/>
    <w:rsid w:val="007A3756"/>
    <w:rsid w:val="007F0736"/>
    <w:rsid w:val="0080397A"/>
    <w:rsid w:val="008405FF"/>
    <w:rsid w:val="00865BB1"/>
    <w:rsid w:val="00870C7F"/>
    <w:rsid w:val="008757DF"/>
    <w:rsid w:val="00887121"/>
    <w:rsid w:val="008B479D"/>
    <w:rsid w:val="008D7A60"/>
    <w:rsid w:val="008E2DC2"/>
    <w:rsid w:val="00901639"/>
    <w:rsid w:val="00904DF2"/>
    <w:rsid w:val="00906D36"/>
    <w:rsid w:val="00971200"/>
    <w:rsid w:val="009B3799"/>
    <w:rsid w:val="009E3E93"/>
    <w:rsid w:val="00A0390F"/>
    <w:rsid w:val="00A121A9"/>
    <w:rsid w:val="00A25484"/>
    <w:rsid w:val="00A44B60"/>
    <w:rsid w:val="00A45099"/>
    <w:rsid w:val="00A7154B"/>
    <w:rsid w:val="00A82EAD"/>
    <w:rsid w:val="00AF47CA"/>
    <w:rsid w:val="00B20FAA"/>
    <w:rsid w:val="00B633E0"/>
    <w:rsid w:val="00B679CD"/>
    <w:rsid w:val="00B67A6A"/>
    <w:rsid w:val="00B77B3C"/>
    <w:rsid w:val="00BA5AA6"/>
    <w:rsid w:val="00BB46AF"/>
    <w:rsid w:val="00BC7B8B"/>
    <w:rsid w:val="00BD2718"/>
    <w:rsid w:val="00C36C20"/>
    <w:rsid w:val="00C525FE"/>
    <w:rsid w:val="00C61D65"/>
    <w:rsid w:val="00C946C1"/>
    <w:rsid w:val="00CA1544"/>
    <w:rsid w:val="00CB3943"/>
    <w:rsid w:val="00CE0FF3"/>
    <w:rsid w:val="00CF063D"/>
    <w:rsid w:val="00CF6860"/>
    <w:rsid w:val="00D122D9"/>
    <w:rsid w:val="00D45AD2"/>
    <w:rsid w:val="00DC36FF"/>
    <w:rsid w:val="00DC67FD"/>
    <w:rsid w:val="00E2616D"/>
    <w:rsid w:val="00E44518"/>
    <w:rsid w:val="00E84381"/>
    <w:rsid w:val="00EA0BE2"/>
    <w:rsid w:val="00EB538C"/>
    <w:rsid w:val="00EB54D9"/>
    <w:rsid w:val="00EB5636"/>
    <w:rsid w:val="00F241BD"/>
    <w:rsid w:val="00F35FC1"/>
    <w:rsid w:val="00F660D3"/>
    <w:rsid w:val="00F811E2"/>
    <w:rsid w:val="00F86000"/>
    <w:rsid w:val="00FB7C1D"/>
    <w:rsid w:val="00FC64C1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EB5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5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B5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65E915553065406A11642C37521E869BFA33AA44CABAA013983DAC1289A189170486A50976522A8ABC49E80C7B1EFAE7B72EACF697607cFC3M" TargetMode="External"/><Relationship Id="rId13" Type="http://schemas.openxmlformats.org/officeDocument/2006/relationships/hyperlink" Target="consultantplus://offline/ref=A2AF04CBBF025E03B24357A51F2DE0177C103DACC1909177990CB264587BAAFD1DA78F56EF659DA70B8715D0956CAFA13474B78A12562F6E6F7CC9B5V1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2AF04CBBF025E03B24357A51F2DE0177C103DACC0919F7D9D0CB264587BAAFD1DA78F56EF659DA70B8616D2956CAFA13474B78A12562F6E6F7CC9B5V1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B988B6825B525F1E4A457A05F9E97E3BF6863A33017EB2CCBFB81D6A74AEBC6250B1A89FA2A77F3B460BE269F8A94BD90DBE9955DBFF3856B5F2C9d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AF04CBBF025E03B24357A51F2DE0177C103DACC1909177990CB264587BAAFD1DA78F56EF659DA70B8616D2956CAFA13474B78A12562F6E6F7CC9B5V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B988B6825B525F1E4A457A05F9E97E3BF6863A33017EB2CCBFB81D6A74AEBC6250B1A89FA2A77F3B460AE869F8A94BD90DBE9955DBFF3856B5F2C9d2H" TargetMode="External"/><Relationship Id="rId10" Type="http://schemas.openxmlformats.org/officeDocument/2006/relationships/hyperlink" Target="consultantplus://offline/ref=A2AF04CBBF025E03B24357A51F2DE0177C103DACC1909177990CB264587BAAFD1DA78F44EF3D91A5089816D2803AFEE4B6V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CE4F21C81EEB944BC16A3572F20A53EC1A866F990A0275AA11218BECCC1585CC68757A28E9111352FF7C5FE6DAFCC8999A9CB4AD5A05A58B4A7D7w1r8O" TargetMode="External"/><Relationship Id="rId14" Type="http://schemas.openxmlformats.org/officeDocument/2006/relationships/hyperlink" Target="consultantplus://offline/ref=A2AF04CBBF025E03B24357A51F2DE0177C103DACC0919F7D9D0CB264587BAAFD1DA78F56EF659DA70B8612D5956CAFA13474B78A12562F6E6F7CC9B5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2020-06-22T15:01:00Z</cp:lastPrinted>
  <dcterms:created xsi:type="dcterms:W3CDTF">2020-10-20T11:10:00Z</dcterms:created>
  <dcterms:modified xsi:type="dcterms:W3CDTF">2020-10-20T11:10:00Z</dcterms:modified>
</cp:coreProperties>
</file>