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7C4E64">
        <w:rPr>
          <w:sz w:val="28"/>
          <w:szCs w:val="28"/>
        </w:rPr>
        <w:t>24</w:t>
      </w:r>
      <w:r w:rsidR="00F35FC1" w:rsidRPr="000B3867">
        <w:rPr>
          <w:sz w:val="28"/>
          <w:szCs w:val="28"/>
        </w:rPr>
        <w:t xml:space="preserve"> </w:t>
      </w:r>
      <w:r w:rsidR="006D6410">
        <w:rPr>
          <w:sz w:val="28"/>
          <w:szCs w:val="28"/>
        </w:rPr>
        <w:t>декабря</w:t>
      </w:r>
      <w:r w:rsidRPr="000B3867">
        <w:rPr>
          <w:sz w:val="28"/>
          <w:szCs w:val="28"/>
        </w:rPr>
        <w:t xml:space="preserve"> 2020 г. № </w:t>
      </w:r>
      <w:r w:rsidR="004C6EF8" w:rsidRPr="000B3867">
        <w:rPr>
          <w:sz w:val="28"/>
          <w:szCs w:val="28"/>
        </w:rPr>
        <w:t>3</w:t>
      </w:r>
      <w:r w:rsidRPr="000B3867">
        <w:rPr>
          <w:sz w:val="28"/>
          <w:szCs w:val="28"/>
        </w:rPr>
        <w:t xml:space="preserve">/2020 – </w:t>
      </w:r>
      <w:r w:rsidR="008B4B11">
        <w:rPr>
          <w:sz w:val="28"/>
          <w:szCs w:val="28"/>
        </w:rPr>
        <w:t>45</w:t>
      </w:r>
    </w:p>
    <w:p w:rsidR="00A7154B" w:rsidRPr="000B3867" w:rsidRDefault="00A7154B" w:rsidP="00A7154B">
      <w:pPr>
        <w:rPr>
          <w:sz w:val="28"/>
          <w:szCs w:val="28"/>
        </w:rPr>
      </w:pPr>
    </w:p>
    <w:tbl>
      <w:tblPr>
        <w:tblStyle w:val="a3"/>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tblGrid>
      <w:tr w:rsidR="00A7154B" w:rsidRPr="000B3867" w:rsidTr="00476607">
        <w:trPr>
          <w:trHeight w:val="7"/>
        </w:trPr>
        <w:tc>
          <w:tcPr>
            <w:tcW w:w="6345" w:type="dxa"/>
          </w:tcPr>
          <w:p w:rsidR="00A7154B" w:rsidRPr="000B3867" w:rsidRDefault="00476607" w:rsidP="008B4B11">
            <w:pPr>
              <w:jc w:val="both"/>
              <w:rPr>
                <w:sz w:val="28"/>
                <w:szCs w:val="28"/>
              </w:rPr>
            </w:pPr>
            <w:proofErr w:type="gramStart"/>
            <w:r w:rsidRPr="00476607">
              <w:rPr>
                <w:sz w:val="28"/>
                <w:szCs w:val="28"/>
              </w:rPr>
              <w:t xml:space="preserve">О внесении изменений в решение Совета </w:t>
            </w:r>
            <w:r w:rsidR="008B4B11">
              <w:rPr>
                <w:sz w:val="28"/>
                <w:szCs w:val="28"/>
              </w:rPr>
              <w:t>муниципального образования городского округа</w:t>
            </w:r>
            <w:r w:rsidRPr="00476607">
              <w:rPr>
                <w:sz w:val="28"/>
                <w:szCs w:val="28"/>
              </w:rPr>
              <w:t xml:space="preserve"> «Сыктывкар» от 14.11.2008 № 15/11-304 «Об утверждении правил обращения лиц, замещавших должности муниципальной службы в муниципальном образовании городского округа «Сыктывкар»,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roofErr w:type="gramEnd"/>
          </w:p>
        </w:tc>
      </w:tr>
    </w:tbl>
    <w:p w:rsidR="00B20FAA" w:rsidRPr="004C6EF8" w:rsidRDefault="00B20FAA" w:rsidP="00B20FAA">
      <w:pPr>
        <w:autoSpaceDE w:val="0"/>
        <w:autoSpaceDN w:val="0"/>
        <w:adjustRightInd w:val="0"/>
        <w:ind w:firstLine="567"/>
        <w:jc w:val="both"/>
        <w:rPr>
          <w:sz w:val="26"/>
          <w:szCs w:val="26"/>
        </w:rPr>
      </w:pPr>
    </w:p>
    <w:p w:rsidR="00476607" w:rsidRPr="00476607" w:rsidRDefault="00476607" w:rsidP="00476607">
      <w:pPr>
        <w:tabs>
          <w:tab w:val="num" w:pos="540"/>
        </w:tabs>
        <w:ind w:firstLine="567"/>
        <w:jc w:val="both"/>
        <w:rPr>
          <w:sz w:val="28"/>
          <w:szCs w:val="28"/>
        </w:rPr>
      </w:pPr>
      <w:r w:rsidRPr="00476607">
        <w:rPr>
          <w:color w:val="000000"/>
          <w:sz w:val="28"/>
          <w:szCs w:val="28"/>
        </w:rPr>
        <w:t>Руководствуясь статьей 24 Федерального закона Российской Федерации              от 02.03.2007 № 25-ФЗ «О муниципальной службе в Российской Федерации», статьей 10(1) Закона Республики Коми от 21.12.2007 № 133-РЗ «О некоторых вопросах муниципальной службы в Республике Коми», статьей</w:t>
      </w:r>
      <w:r w:rsidRPr="00476607">
        <w:rPr>
          <w:sz w:val="28"/>
          <w:szCs w:val="28"/>
        </w:rPr>
        <w:t xml:space="preserve"> 33 Устава муниципального образования городского округа «Сыктывкар», </w:t>
      </w:r>
    </w:p>
    <w:p w:rsidR="00CB3943" w:rsidRPr="004C6EF8" w:rsidRDefault="00CB3943" w:rsidP="00A7154B">
      <w:pPr>
        <w:autoSpaceDE w:val="0"/>
        <w:autoSpaceDN w:val="0"/>
        <w:adjustRightInd w:val="0"/>
        <w:ind w:firstLine="709"/>
        <w:jc w:val="both"/>
        <w:rPr>
          <w:rFonts w:eastAsia="Calibri"/>
          <w:sz w:val="26"/>
          <w:szCs w:val="26"/>
          <w:lang w:eastAsia="en-US"/>
        </w:rPr>
      </w:pPr>
    </w:p>
    <w:p w:rsidR="00A7154B" w:rsidRPr="004C6EF8" w:rsidRDefault="00A7154B" w:rsidP="00A7154B">
      <w:pPr>
        <w:autoSpaceDE w:val="0"/>
        <w:autoSpaceDN w:val="0"/>
        <w:adjustRightInd w:val="0"/>
        <w:jc w:val="center"/>
        <w:rPr>
          <w:rFonts w:eastAsia="Calibri"/>
          <w:sz w:val="26"/>
          <w:szCs w:val="26"/>
          <w:lang w:eastAsia="en-US"/>
        </w:rPr>
      </w:pPr>
      <w:r w:rsidRPr="004C6EF8">
        <w:rPr>
          <w:rFonts w:eastAsia="Calibri"/>
          <w:b/>
          <w:sz w:val="26"/>
          <w:szCs w:val="26"/>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6"/>
          <w:szCs w:val="26"/>
          <w:lang w:eastAsia="en-US"/>
        </w:rPr>
      </w:pPr>
      <w:r w:rsidRPr="004C6EF8">
        <w:rPr>
          <w:rFonts w:eastAsia="Calibri"/>
          <w:b/>
          <w:sz w:val="26"/>
          <w:szCs w:val="26"/>
          <w:lang w:eastAsia="en-US"/>
        </w:rPr>
        <w:t>РЕШИЛ:</w:t>
      </w:r>
    </w:p>
    <w:p w:rsidR="008B4B11" w:rsidRPr="004C6EF8" w:rsidRDefault="008B4B11" w:rsidP="00A7154B">
      <w:pPr>
        <w:autoSpaceDE w:val="0"/>
        <w:autoSpaceDN w:val="0"/>
        <w:adjustRightInd w:val="0"/>
        <w:jc w:val="center"/>
        <w:rPr>
          <w:rFonts w:eastAsia="Calibri"/>
          <w:b/>
          <w:sz w:val="26"/>
          <w:szCs w:val="26"/>
          <w:lang w:eastAsia="en-US"/>
        </w:rPr>
      </w:pPr>
    </w:p>
    <w:p w:rsidR="00476607" w:rsidRPr="00476607" w:rsidRDefault="00476607" w:rsidP="00476607">
      <w:pPr>
        <w:autoSpaceDE w:val="0"/>
        <w:autoSpaceDN w:val="0"/>
        <w:adjustRightInd w:val="0"/>
        <w:ind w:firstLine="540"/>
        <w:jc w:val="both"/>
        <w:rPr>
          <w:sz w:val="28"/>
          <w:szCs w:val="28"/>
        </w:rPr>
      </w:pPr>
      <w:r w:rsidRPr="00476607">
        <w:rPr>
          <w:sz w:val="28"/>
          <w:szCs w:val="28"/>
        </w:rPr>
        <w:t xml:space="preserve">1. </w:t>
      </w:r>
      <w:proofErr w:type="gramStart"/>
      <w:r w:rsidRPr="00476607">
        <w:rPr>
          <w:sz w:val="28"/>
          <w:szCs w:val="28"/>
        </w:rPr>
        <w:t xml:space="preserve">Внести в решение Совета </w:t>
      </w:r>
      <w:r w:rsidR="008B4B11">
        <w:rPr>
          <w:sz w:val="28"/>
          <w:szCs w:val="28"/>
        </w:rPr>
        <w:t>муниципального образования городского округа</w:t>
      </w:r>
      <w:r w:rsidRPr="00476607">
        <w:rPr>
          <w:sz w:val="28"/>
          <w:szCs w:val="28"/>
        </w:rPr>
        <w:t xml:space="preserve"> «Сыктывкар» от 14.11.2008 № 15/11-304 «Об утверждении Правил обращения лиц, замещавших должности муниципальной службы в муниципальном образовании городского округа «Сыктывкар»,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следующие изменения:</w:t>
      </w:r>
      <w:proofErr w:type="gramEnd"/>
    </w:p>
    <w:p w:rsidR="00476607" w:rsidRPr="00476607" w:rsidRDefault="00476607" w:rsidP="00476607">
      <w:pPr>
        <w:autoSpaceDE w:val="0"/>
        <w:autoSpaceDN w:val="0"/>
        <w:adjustRightInd w:val="0"/>
        <w:ind w:firstLine="540"/>
        <w:jc w:val="both"/>
        <w:rPr>
          <w:sz w:val="28"/>
          <w:szCs w:val="28"/>
        </w:rPr>
      </w:pPr>
      <w:r w:rsidRPr="00476607">
        <w:rPr>
          <w:sz w:val="28"/>
          <w:szCs w:val="28"/>
        </w:rPr>
        <w:t>в приложении к решению:</w:t>
      </w:r>
    </w:p>
    <w:p w:rsidR="00476607" w:rsidRPr="00476607" w:rsidRDefault="00476607" w:rsidP="00476607">
      <w:pPr>
        <w:numPr>
          <w:ilvl w:val="1"/>
          <w:numId w:val="3"/>
        </w:numPr>
        <w:autoSpaceDE w:val="0"/>
        <w:autoSpaceDN w:val="0"/>
        <w:adjustRightInd w:val="0"/>
        <w:jc w:val="both"/>
        <w:rPr>
          <w:sz w:val="28"/>
          <w:szCs w:val="28"/>
        </w:rPr>
      </w:pPr>
      <w:r w:rsidRPr="00476607">
        <w:rPr>
          <w:sz w:val="28"/>
          <w:szCs w:val="28"/>
        </w:rPr>
        <w:t>Пункт 15 изложить в следующей редакции:</w:t>
      </w:r>
    </w:p>
    <w:p w:rsidR="00476607" w:rsidRPr="00476607" w:rsidRDefault="00476607" w:rsidP="00476607">
      <w:pPr>
        <w:autoSpaceDE w:val="0"/>
        <w:autoSpaceDN w:val="0"/>
        <w:adjustRightInd w:val="0"/>
        <w:ind w:firstLine="540"/>
        <w:jc w:val="both"/>
        <w:rPr>
          <w:sz w:val="28"/>
          <w:szCs w:val="28"/>
        </w:rPr>
      </w:pPr>
      <w:r w:rsidRPr="00476607">
        <w:rPr>
          <w:sz w:val="28"/>
          <w:szCs w:val="28"/>
        </w:rPr>
        <w:t>«15. На основании решения о необоснованности включения (невключения</w:t>
      </w:r>
      <w:bookmarkStart w:id="0" w:name="_GoBack"/>
      <w:bookmarkEnd w:id="0"/>
      <w:r w:rsidRPr="00476607">
        <w:rPr>
          <w:sz w:val="28"/>
          <w:szCs w:val="28"/>
        </w:rPr>
        <w:t xml:space="preserve">) в стаж муниципальной службы отдельных периодов службы (работы) администрация в течение 10 рабочих дней со дня принятия соответствующего решения готовит </w:t>
      </w:r>
      <w:r w:rsidRPr="00492B8F">
        <w:rPr>
          <w:sz w:val="28"/>
          <w:szCs w:val="28"/>
        </w:rPr>
        <w:t>проект решения</w:t>
      </w:r>
      <w:r w:rsidRPr="00476607">
        <w:rPr>
          <w:sz w:val="28"/>
          <w:szCs w:val="28"/>
        </w:rPr>
        <w:t xml:space="preserve"> главы муниципального образования городского округа «Сыктывкар» - руководителя администрации об установлении пенсии за выслугу лет в новом размере (в отношении лиц, замещавших должности муниципальной службы в администрации Эжвинского района МО ГО «Сыктывкар» - </w:t>
      </w:r>
      <w:r w:rsidRPr="00492B8F">
        <w:rPr>
          <w:sz w:val="28"/>
          <w:szCs w:val="28"/>
        </w:rPr>
        <w:t>проект решения</w:t>
      </w:r>
      <w:r w:rsidRPr="00476607">
        <w:rPr>
          <w:sz w:val="28"/>
          <w:szCs w:val="28"/>
        </w:rPr>
        <w:t xml:space="preserve"> руководителя администрации Эжвинского района МО ГО «Сыктывкар» об установлении пенсии за выслугу лет в новом </w:t>
      </w:r>
      <w:r w:rsidRPr="00476607">
        <w:rPr>
          <w:sz w:val="28"/>
          <w:szCs w:val="28"/>
        </w:rPr>
        <w:lastRenderedPageBreak/>
        <w:t>размере), 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в этот же срок до сведения муниципального служащего, стаж которого определяется.</w:t>
      </w:r>
    </w:p>
    <w:p w:rsidR="00476607" w:rsidRPr="00476607" w:rsidRDefault="00476607" w:rsidP="00476607">
      <w:pPr>
        <w:autoSpaceDE w:val="0"/>
        <w:autoSpaceDN w:val="0"/>
        <w:adjustRightInd w:val="0"/>
        <w:ind w:firstLine="540"/>
        <w:jc w:val="both"/>
        <w:rPr>
          <w:sz w:val="28"/>
          <w:szCs w:val="28"/>
        </w:rPr>
      </w:pPr>
      <w:r w:rsidRPr="00476607">
        <w:rPr>
          <w:sz w:val="28"/>
          <w:szCs w:val="28"/>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476607" w:rsidRPr="00476607" w:rsidRDefault="00476607" w:rsidP="00476607">
      <w:pPr>
        <w:numPr>
          <w:ilvl w:val="1"/>
          <w:numId w:val="3"/>
        </w:numPr>
        <w:autoSpaceDE w:val="0"/>
        <w:autoSpaceDN w:val="0"/>
        <w:adjustRightInd w:val="0"/>
        <w:jc w:val="both"/>
        <w:rPr>
          <w:sz w:val="28"/>
          <w:szCs w:val="28"/>
        </w:rPr>
      </w:pPr>
      <w:r w:rsidRPr="00476607">
        <w:rPr>
          <w:sz w:val="28"/>
          <w:szCs w:val="28"/>
        </w:rPr>
        <w:t>Пункт 48 изложить в следующей редакции:</w:t>
      </w:r>
    </w:p>
    <w:p w:rsidR="00476607" w:rsidRPr="00476607" w:rsidRDefault="00476607" w:rsidP="00476607">
      <w:pPr>
        <w:autoSpaceDE w:val="0"/>
        <w:autoSpaceDN w:val="0"/>
        <w:adjustRightInd w:val="0"/>
        <w:ind w:firstLine="540"/>
        <w:jc w:val="both"/>
        <w:rPr>
          <w:sz w:val="28"/>
          <w:szCs w:val="28"/>
        </w:rPr>
      </w:pPr>
      <w:r w:rsidRPr="00476607">
        <w:rPr>
          <w:sz w:val="28"/>
          <w:szCs w:val="28"/>
        </w:rPr>
        <w:t>«48.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три рабочих дня до назначения пенсии за выслугу лет доводится до сведения муниципального служащего, стаж которого определяется.».</w:t>
      </w:r>
    </w:p>
    <w:p w:rsidR="00476607" w:rsidRPr="00476607" w:rsidRDefault="00476607" w:rsidP="00476607">
      <w:pPr>
        <w:autoSpaceDE w:val="0"/>
        <w:autoSpaceDN w:val="0"/>
        <w:adjustRightInd w:val="0"/>
        <w:ind w:firstLine="540"/>
        <w:jc w:val="both"/>
        <w:rPr>
          <w:sz w:val="28"/>
          <w:szCs w:val="28"/>
        </w:rPr>
      </w:pPr>
      <w:r w:rsidRPr="00476607">
        <w:rPr>
          <w:sz w:val="28"/>
          <w:szCs w:val="28"/>
        </w:rPr>
        <w:t>2. Настоящее решение вступает в силу со дня его официального опубликования.</w:t>
      </w:r>
    </w:p>
    <w:p w:rsidR="00BD26A0" w:rsidRDefault="00BD26A0" w:rsidP="004C6EF8">
      <w:pPr>
        <w:autoSpaceDE w:val="0"/>
        <w:autoSpaceDN w:val="0"/>
        <w:adjustRightInd w:val="0"/>
        <w:jc w:val="both"/>
        <w:rPr>
          <w:rFonts w:eastAsia="Calibri"/>
          <w:bCs/>
          <w:sz w:val="28"/>
          <w:szCs w:val="28"/>
          <w:lang w:eastAsia="en-US"/>
        </w:rPr>
      </w:pPr>
    </w:p>
    <w:p w:rsidR="008B4B11" w:rsidRDefault="008B4B11" w:rsidP="004C6EF8">
      <w:pPr>
        <w:autoSpaceDE w:val="0"/>
        <w:autoSpaceDN w:val="0"/>
        <w:adjustRightInd w:val="0"/>
        <w:jc w:val="both"/>
        <w:rPr>
          <w:rFonts w:eastAsia="Calibri"/>
          <w:bCs/>
          <w:sz w:val="28"/>
          <w:szCs w:val="28"/>
          <w:lang w:eastAsia="en-US"/>
        </w:rPr>
      </w:pPr>
    </w:p>
    <w:p w:rsidR="00476607" w:rsidRPr="00476607" w:rsidRDefault="00476607" w:rsidP="00476607">
      <w:pPr>
        <w:shd w:val="clear" w:color="auto" w:fill="FFFFFF"/>
        <w:rPr>
          <w:color w:val="000000"/>
          <w:sz w:val="28"/>
          <w:szCs w:val="28"/>
        </w:rPr>
      </w:pPr>
      <w:r w:rsidRPr="00476607">
        <w:rPr>
          <w:color w:val="000000"/>
          <w:sz w:val="28"/>
          <w:szCs w:val="28"/>
        </w:rPr>
        <w:t xml:space="preserve">Глава МО ГО «Сыктывкар» – </w:t>
      </w:r>
    </w:p>
    <w:p w:rsidR="00476607" w:rsidRPr="00476607" w:rsidRDefault="00476607" w:rsidP="00476607">
      <w:pPr>
        <w:shd w:val="clear" w:color="auto" w:fill="FFFFFF"/>
        <w:rPr>
          <w:color w:val="000000"/>
          <w:sz w:val="28"/>
          <w:szCs w:val="28"/>
        </w:rPr>
      </w:pPr>
      <w:r w:rsidRPr="00476607">
        <w:rPr>
          <w:color w:val="000000"/>
          <w:sz w:val="28"/>
          <w:szCs w:val="28"/>
        </w:rPr>
        <w:t>руководитель администрации</w:t>
      </w:r>
      <w:r w:rsidRPr="00476607">
        <w:rPr>
          <w:color w:val="000000"/>
          <w:sz w:val="28"/>
          <w:szCs w:val="28"/>
        </w:rPr>
        <w:tab/>
      </w:r>
      <w:r w:rsidRPr="00476607">
        <w:rPr>
          <w:color w:val="000000"/>
          <w:sz w:val="28"/>
          <w:szCs w:val="28"/>
        </w:rPr>
        <w:tab/>
      </w:r>
      <w:r w:rsidRPr="00476607">
        <w:rPr>
          <w:color w:val="000000"/>
          <w:sz w:val="28"/>
          <w:szCs w:val="28"/>
        </w:rPr>
        <w:tab/>
      </w:r>
      <w:r w:rsidRPr="00476607">
        <w:rPr>
          <w:color w:val="000000"/>
          <w:sz w:val="28"/>
          <w:szCs w:val="28"/>
        </w:rPr>
        <w:tab/>
      </w:r>
      <w:r w:rsidRPr="00476607">
        <w:rPr>
          <w:color w:val="000000"/>
          <w:sz w:val="28"/>
          <w:szCs w:val="28"/>
        </w:rPr>
        <w:tab/>
        <w:t xml:space="preserve">     Н.С. Хозяинова</w:t>
      </w:r>
    </w:p>
    <w:p w:rsidR="00476607" w:rsidRPr="00476607" w:rsidRDefault="00476607" w:rsidP="00476607">
      <w:pPr>
        <w:shd w:val="clear" w:color="auto" w:fill="FFFFFF"/>
        <w:rPr>
          <w:color w:val="000000"/>
          <w:sz w:val="16"/>
          <w:szCs w:val="16"/>
        </w:rPr>
      </w:pPr>
      <w:r w:rsidRPr="00476607">
        <w:rPr>
          <w:color w:val="000000"/>
          <w:sz w:val="16"/>
          <w:szCs w:val="16"/>
        </w:rPr>
        <w:t xml:space="preserve"> </w:t>
      </w:r>
    </w:p>
    <w:p w:rsidR="004C6EF8" w:rsidRPr="000B3867" w:rsidRDefault="004C6EF8" w:rsidP="004C6EF8">
      <w:pPr>
        <w:autoSpaceDE w:val="0"/>
        <w:autoSpaceDN w:val="0"/>
        <w:adjustRightInd w:val="0"/>
        <w:jc w:val="both"/>
        <w:rPr>
          <w:rFonts w:eastAsia="Calibri"/>
          <w:bCs/>
          <w:sz w:val="28"/>
          <w:szCs w:val="28"/>
          <w:lang w:eastAsia="en-US"/>
        </w:rPr>
      </w:pPr>
    </w:p>
    <w:p w:rsidR="001E5D22" w:rsidRPr="000B3867" w:rsidRDefault="001E5D22" w:rsidP="001E5D22">
      <w:pPr>
        <w:tabs>
          <w:tab w:val="left" w:pos="9356"/>
        </w:tabs>
        <w:jc w:val="both"/>
        <w:rPr>
          <w:sz w:val="28"/>
          <w:szCs w:val="28"/>
          <w:lang w:eastAsia="en-US"/>
        </w:rPr>
      </w:pPr>
      <w:r w:rsidRPr="000B3867">
        <w:rPr>
          <w:sz w:val="28"/>
          <w:szCs w:val="28"/>
          <w:lang w:eastAsia="en-US"/>
        </w:rPr>
        <w:t xml:space="preserve">Председатель Совета  </w:t>
      </w:r>
    </w:p>
    <w:p w:rsidR="004C6EF8" w:rsidRPr="000B3867" w:rsidRDefault="001E5D22" w:rsidP="00F35FC1">
      <w:pPr>
        <w:tabs>
          <w:tab w:val="left" w:pos="9356"/>
        </w:tabs>
        <w:jc w:val="both"/>
        <w:rPr>
          <w:sz w:val="28"/>
          <w:szCs w:val="28"/>
          <w:lang w:eastAsia="en-US"/>
        </w:rPr>
      </w:pPr>
      <w:r w:rsidRPr="000B3867">
        <w:rPr>
          <w:sz w:val="28"/>
          <w:szCs w:val="28"/>
          <w:lang w:eastAsia="en-US"/>
        </w:rPr>
        <w:t xml:space="preserve">МО ГО </w:t>
      </w:r>
      <w:r w:rsidR="00745BC3" w:rsidRPr="000B3867">
        <w:rPr>
          <w:sz w:val="28"/>
          <w:szCs w:val="28"/>
          <w:lang w:eastAsia="en-US"/>
        </w:rPr>
        <w:t>«</w:t>
      </w:r>
      <w:r w:rsidRPr="000B3867">
        <w:rPr>
          <w:sz w:val="28"/>
          <w:szCs w:val="28"/>
          <w:lang w:eastAsia="en-US"/>
        </w:rPr>
        <w:t>Сыктывкар</w:t>
      </w:r>
      <w:r w:rsidR="00745BC3" w:rsidRPr="000B3867">
        <w:rPr>
          <w:sz w:val="28"/>
          <w:szCs w:val="28"/>
          <w:lang w:eastAsia="en-US"/>
        </w:rPr>
        <w:t>»</w:t>
      </w:r>
      <w:r w:rsidRPr="000B3867">
        <w:rPr>
          <w:sz w:val="28"/>
          <w:szCs w:val="28"/>
          <w:lang w:eastAsia="en-US"/>
        </w:rPr>
        <w:t xml:space="preserve">                                             </w:t>
      </w:r>
      <w:r w:rsidR="007626E4" w:rsidRPr="000B3867">
        <w:rPr>
          <w:sz w:val="28"/>
          <w:szCs w:val="28"/>
          <w:lang w:eastAsia="en-US"/>
        </w:rPr>
        <w:t xml:space="preserve">   </w:t>
      </w:r>
      <w:r w:rsidRPr="000B3867">
        <w:rPr>
          <w:sz w:val="28"/>
          <w:szCs w:val="28"/>
          <w:lang w:eastAsia="en-US"/>
        </w:rPr>
        <w:t xml:space="preserve">            </w:t>
      </w:r>
      <w:r w:rsidR="004C6EF8" w:rsidRPr="000B3867">
        <w:rPr>
          <w:sz w:val="28"/>
          <w:szCs w:val="28"/>
          <w:lang w:eastAsia="en-US"/>
        </w:rPr>
        <w:t xml:space="preserve">   </w:t>
      </w:r>
      <w:r w:rsidRPr="000B3867">
        <w:rPr>
          <w:sz w:val="28"/>
          <w:szCs w:val="28"/>
          <w:lang w:eastAsia="en-US"/>
        </w:rPr>
        <w:t xml:space="preserve">               А.Ф. Дю</w:t>
      </w:r>
    </w:p>
    <w:sectPr w:rsidR="004C6EF8" w:rsidRPr="000B3867" w:rsidSect="0088712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3"/>
  </w:num>
  <w:num w:numId="4">
    <w:abstractNumId w:val="7"/>
  </w:num>
  <w:num w:numId="5">
    <w:abstractNumId w:val="6"/>
  </w:num>
  <w:num w:numId="6">
    <w:abstractNumId w:val="9"/>
  </w:num>
  <w:num w:numId="7">
    <w:abstractNumId w:val="1"/>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42A41"/>
    <w:rsid w:val="00087FF1"/>
    <w:rsid w:val="000B3867"/>
    <w:rsid w:val="000F3340"/>
    <w:rsid w:val="001305F4"/>
    <w:rsid w:val="001439E5"/>
    <w:rsid w:val="001871BD"/>
    <w:rsid w:val="00193587"/>
    <w:rsid w:val="001D25DA"/>
    <w:rsid w:val="001E5D22"/>
    <w:rsid w:val="002209DA"/>
    <w:rsid w:val="00230452"/>
    <w:rsid w:val="00246CB0"/>
    <w:rsid w:val="002C1923"/>
    <w:rsid w:val="002F0124"/>
    <w:rsid w:val="00330625"/>
    <w:rsid w:val="0036175E"/>
    <w:rsid w:val="00363ABC"/>
    <w:rsid w:val="00376E42"/>
    <w:rsid w:val="003B0BE5"/>
    <w:rsid w:val="003C4C3C"/>
    <w:rsid w:val="003D05BE"/>
    <w:rsid w:val="00476607"/>
    <w:rsid w:val="00492B8F"/>
    <w:rsid w:val="004B1937"/>
    <w:rsid w:val="004C4D28"/>
    <w:rsid w:val="004C6EF8"/>
    <w:rsid w:val="004D4534"/>
    <w:rsid w:val="004D5410"/>
    <w:rsid w:val="00531D66"/>
    <w:rsid w:val="005C2377"/>
    <w:rsid w:val="005E34CC"/>
    <w:rsid w:val="006A4B9D"/>
    <w:rsid w:val="006D6410"/>
    <w:rsid w:val="00745BC3"/>
    <w:rsid w:val="00757FF2"/>
    <w:rsid w:val="007626E4"/>
    <w:rsid w:val="007C4E64"/>
    <w:rsid w:val="007F0736"/>
    <w:rsid w:val="0080397A"/>
    <w:rsid w:val="00817D1B"/>
    <w:rsid w:val="00865BB1"/>
    <w:rsid w:val="008757DF"/>
    <w:rsid w:val="00885AD9"/>
    <w:rsid w:val="00887121"/>
    <w:rsid w:val="008B479D"/>
    <w:rsid w:val="008B4B11"/>
    <w:rsid w:val="008E22EB"/>
    <w:rsid w:val="00901639"/>
    <w:rsid w:val="00906D36"/>
    <w:rsid w:val="009F4C1E"/>
    <w:rsid w:val="00A121A9"/>
    <w:rsid w:val="00A45099"/>
    <w:rsid w:val="00A7154B"/>
    <w:rsid w:val="00A82EAD"/>
    <w:rsid w:val="00AD6F58"/>
    <w:rsid w:val="00B1128F"/>
    <w:rsid w:val="00B20FAA"/>
    <w:rsid w:val="00B633E0"/>
    <w:rsid w:val="00B679CD"/>
    <w:rsid w:val="00B67A6A"/>
    <w:rsid w:val="00B72137"/>
    <w:rsid w:val="00B77B3C"/>
    <w:rsid w:val="00B81D6E"/>
    <w:rsid w:val="00BA5AA6"/>
    <w:rsid w:val="00BC7B8B"/>
    <w:rsid w:val="00BD26A0"/>
    <w:rsid w:val="00BD2718"/>
    <w:rsid w:val="00BF0F86"/>
    <w:rsid w:val="00C14FD4"/>
    <w:rsid w:val="00C525FE"/>
    <w:rsid w:val="00CB3943"/>
    <w:rsid w:val="00CD0F97"/>
    <w:rsid w:val="00CE0FF3"/>
    <w:rsid w:val="00CF063D"/>
    <w:rsid w:val="00D122D9"/>
    <w:rsid w:val="00D97974"/>
    <w:rsid w:val="00DC36FF"/>
    <w:rsid w:val="00DC67FD"/>
    <w:rsid w:val="00E2616D"/>
    <w:rsid w:val="00E44518"/>
    <w:rsid w:val="00E84381"/>
    <w:rsid w:val="00EA0BE2"/>
    <w:rsid w:val="00EB7D5A"/>
    <w:rsid w:val="00EE77F1"/>
    <w:rsid w:val="00F22FC1"/>
    <w:rsid w:val="00F35FC1"/>
    <w:rsid w:val="00F811E2"/>
    <w:rsid w:val="00F86000"/>
    <w:rsid w:val="00F96BE4"/>
    <w:rsid w:val="00FB7C1D"/>
    <w:rsid w:val="00FD43C8"/>
    <w:rsid w:val="00FF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2020-12-23T14:38:00Z</cp:lastPrinted>
  <dcterms:created xsi:type="dcterms:W3CDTF">2020-12-23T14:38:00Z</dcterms:created>
  <dcterms:modified xsi:type="dcterms:W3CDTF">2020-12-23T14:38:00Z</dcterms:modified>
</cp:coreProperties>
</file>