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3036D1" w:rsidRDefault="008C5B75" w:rsidP="003036D1">
      <w:pPr>
        <w:jc w:val="center"/>
        <w:rPr>
          <w:sz w:val="28"/>
          <w:szCs w:val="28"/>
        </w:rPr>
      </w:pPr>
      <w:r w:rsidRPr="003036D1">
        <w:rPr>
          <w:rFonts w:eastAsia="Calibri"/>
          <w:sz w:val="28"/>
          <w:szCs w:val="28"/>
        </w:rPr>
        <w:t xml:space="preserve">О результатах </w:t>
      </w:r>
      <w:r w:rsidR="00E07222" w:rsidRPr="003036D1">
        <w:rPr>
          <w:rFonts w:eastAsia="Calibri"/>
          <w:sz w:val="28"/>
          <w:szCs w:val="28"/>
        </w:rPr>
        <w:t>аудита в сфере закупок при осуществлении мероприятий по благоустройству общественных территорий города: ул. Коммунистическая (от ул. Советская до ул. Кирова); площадь перед зданием Центрального плавательного бассейна; монумент трудовой славы (освещение); пешеходная зона по ул. Интернациональная (от ул. Орджоникидзе до ул. Энгельса)</w:t>
      </w:r>
    </w:p>
    <w:p w:rsidR="00862694" w:rsidRPr="00141746" w:rsidRDefault="00A203EE" w:rsidP="003036D1">
      <w:pPr>
        <w:spacing w:before="120"/>
        <w:ind w:firstLine="709"/>
        <w:jc w:val="both"/>
        <w:rPr>
          <w:b/>
          <w:sz w:val="28"/>
          <w:szCs w:val="28"/>
        </w:rPr>
      </w:pPr>
      <w:r w:rsidRPr="00141746">
        <w:rPr>
          <w:b/>
          <w:sz w:val="28"/>
          <w:szCs w:val="28"/>
        </w:rPr>
        <w:t>22.03.2021</w:t>
      </w:r>
    </w:p>
    <w:p w:rsidR="00772843" w:rsidRPr="003036D1" w:rsidRDefault="00772843" w:rsidP="00A203EE">
      <w:pPr>
        <w:ind w:firstLine="709"/>
        <w:jc w:val="both"/>
        <w:rPr>
          <w:rFonts w:eastAsia="Calibri"/>
          <w:sz w:val="28"/>
          <w:szCs w:val="28"/>
        </w:rPr>
      </w:pPr>
      <w:r w:rsidRPr="003036D1">
        <w:rPr>
          <w:sz w:val="28"/>
          <w:szCs w:val="28"/>
        </w:rPr>
        <w:t>В соо</w:t>
      </w:r>
      <w:r w:rsidR="00A171A9" w:rsidRPr="003036D1">
        <w:rPr>
          <w:sz w:val="28"/>
          <w:szCs w:val="28"/>
        </w:rPr>
        <w:t>тветствии с планом работы на 202</w:t>
      </w:r>
      <w:r w:rsidR="00E07222" w:rsidRPr="003036D1">
        <w:rPr>
          <w:sz w:val="28"/>
          <w:szCs w:val="28"/>
        </w:rPr>
        <w:t>1</w:t>
      </w:r>
      <w:r w:rsidRPr="003036D1">
        <w:rPr>
          <w:sz w:val="28"/>
          <w:szCs w:val="28"/>
        </w:rPr>
        <w:t xml:space="preserve"> год</w:t>
      </w:r>
      <w:r w:rsidR="00DD357E" w:rsidRPr="003036D1">
        <w:rPr>
          <w:sz w:val="28"/>
          <w:szCs w:val="28"/>
        </w:rPr>
        <w:t>,</w:t>
      </w:r>
      <w:r w:rsidRPr="003036D1">
        <w:rPr>
          <w:sz w:val="28"/>
          <w:szCs w:val="28"/>
        </w:rPr>
        <w:t xml:space="preserve"> Контрольно-счетной палатой муниципального образования городского округа "Сыктывкар" проведен </w:t>
      </w:r>
      <w:r w:rsidR="00E07222" w:rsidRPr="003036D1">
        <w:rPr>
          <w:sz w:val="28"/>
          <w:szCs w:val="28"/>
        </w:rPr>
        <w:t>аудит в сфере закупок при осуществлении мероприятий по благоустройству общественных территорий города: ул. Коммунистическая (от ул. Советская до ул. Кирова); площадь перед зданием Центрального плавательного бассейна; монумент трудовой славы (осв</w:t>
      </w:r>
      <w:r w:rsidR="00C3346D">
        <w:rPr>
          <w:sz w:val="28"/>
          <w:szCs w:val="28"/>
        </w:rPr>
        <w:t>ещение); пешеходная зона по ул. </w:t>
      </w:r>
      <w:r w:rsidR="00E07222" w:rsidRPr="003036D1">
        <w:rPr>
          <w:sz w:val="28"/>
          <w:szCs w:val="28"/>
        </w:rPr>
        <w:t>Интернациональная (о</w:t>
      </w:r>
      <w:bookmarkStart w:id="0" w:name="_GoBack"/>
      <w:bookmarkEnd w:id="0"/>
      <w:r w:rsidR="00E07222" w:rsidRPr="003036D1">
        <w:rPr>
          <w:sz w:val="28"/>
          <w:szCs w:val="28"/>
        </w:rPr>
        <w:t>т ул. Орджоникидзе до ул. Энгельса) (далее – объекты)</w:t>
      </w:r>
      <w:r w:rsidR="004739D9" w:rsidRPr="003036D1">
        <w:rPr>
          <w:rFonts w:eastAsia="Calibri"/>
          <w:sz w:val="28"/>
          <w:szCs w:val="28"/>
        </w:rPr>
        <w:t>.</w:t>
      </w:r>
    </w:p>
    <w:p w:rsidR="00E07222" w:rsidRPr="003036D1" w:rsidRDefault="00E07222" w:rsidP="003036D1">
      <w:pPr>
        <w:ind w:firstLine="709"/>
        <w:jc w:val="both"/>
        <w:rPr>
          <w:sz w:val="28"/>
          <w:szCs w:val="28"/>
        </w:rPr>
      </w:pPr>
      <w:r w:rsidRPr="003036D1">
        <w:rPr>
          <w:sz w:val="28"/>
          <w:szCs w:val="28"/>
        </w:rPr>
        <w:t>Благоустройство объектов осуществлялось в рамках мероприятий трех муниципальных программ:</w:t>
      </w:r>
    </w:p>
    <w:p w:rsidR="00E07222" w:rsidRPr="003036D1" w:rsidRDefault="00E07222" w:rsidP="003036D1">
      <w:pPr>
        <w:ind w:firstLine="567"/>
        <w:jc w:val="both"/>
        <w:rPr>
          <w:sz w:val="28"/>
          <w:szCs w:val="28"/>
        </w:rPr>
      </w:pPr>
      <w:r w:rsidRPr="003036D1">
        <w:rPr>
          <w:sz w:val="28"/>
          <w:szCs w:val="28"/>
        </w:rPr>
        <w:t>- "Развитие культуры, физической культуры и спорта";</w:t>
      </w:r>
    </w:p>
    <w:p w:rsidR="00E07222" w:rsidRPr="003036D1" w:rsidRDefault="00E07222" w:rsidP="003036D1">
      <w:pPr>
        <w:ind w:firstLine="567"/>
        <w:jc w:val="both"/>
        <w:rPr>
          <w:sz w:val="28"/>
          <w:szCs w:val="28"/>
        </w:rPr>
      </w:pPr>
      <w:r w:rsidRPr="003036D1">
        <w:rPr>
          <w:sz w:val="28"/>
          <w:szCs w:val="28"/>
        </w:rPr>
        <w:t>- "Развитие городского хозяйства";</w:t>
      </w:r>
    </w:p>
    <w:p w:rsidR="00E07222" w:rsidRPr="003036D1" w:rsidRDefault="00E07222" w:rsidP="003036D1">
      <w:pPr>
        <w:ind w:firstLine="567"/>
        <w:jc w:val="both"/>
        <w:rPr>
          <w:sz w:val="28"/>
          <w:szCs w:val="28"/>
        </w:rPr>
      </w:pPr>
      <w:r w:rsidRPr="003036D1">
        <w:rPr>
          <w:sz w:val="28"/>
          <w:szCs w:val="28"/>
        </w:rPr>
        <w:t>- "Развитие современной городской среды".</w:t>
      </w:r>
    </w:p>
    <w:p w:rsidR="00E07222" w:rsidRPr="003036D1" w:rsidRDefault="00E07222" w:rsidP="001B3580">
      <w:pPr>
        <w:spacing w:before="120"/>
        <w:ind w:firstLine="709"/>
        <w:jc w:val="both"/>
        <w:rPr>
          <w:sz w:val="28"/>
          <w:szCs w:val="28"/>
        </w:rPr>
      </w:pPr>
      <w:r w:rsidRPr="003036D1">
        <w:rPr>
          <w:sz w:val="28"/>
          <w:szCs w:val="28"/>
        </w:rPr>
        <w:t xml:space="preserve">В рамках проведенного аудита проанализировано 25 закупок на сумму 176 741,0 тыс. рублей, осуществленных </w:t>
      </w:r>
      <w:r w:rsidR="001B3580">
        <w:rPr>
          <w:sz w:val="28"/>
          <w:szCs w:val="28"/>
        </w:rPr>
        <w:t xml:space="preserve">в 2019-2020 годах </w:t>
      </w:r>
      <w:r w:rsidRPr="003036D1">
        <w:rPr>
          <w:sz w:val="28"/>
          <w:szCs w:val="28"/>
        </w:rPr>
        <w:t xml:space="preserve">двумя заказчиками: Управлением культуры администрации МО ГО "Сыктывкар" </w:t>
      </w:r>
      <w:r w:rsidR="00841862" w:rsidRPr="003036D1">
        <w:rPr>
          <w:sz w:val="28"/>
          <w:szCs w:val="28"/>
        </w:rPr>
        <w:t xml:space="preserve">(далее – Управление культуры) </w:t>
      </w:r>
      <w:r w:rsidRPr="003036D1">
        <w:rPr>
          <w:sz w:val="28"/>
          <w:szCs w:val="28"/>
        </w:rPr>
        <w:t>и Управлением жилищно-коммунального хозяйства МО ГО "Сыктывкар"</w:t>
      </w:r>
      <w:r w:rsidR="00841862" w:rsidRPr="003036D1">
        <w:rPr>
          <w:sz w:val="28"/>
          <w:szCs w:val="28"/>
        </w:rPr>
        <w:t xml:space="preserve"> (далее – Управление ЖКХ)</w:t>
      </w:r>
      <w:r w:rsidRPr="003036D1">
        <w:rPr>
          <w:sz w:val="28"/>
          <w:szCs w:val="28"/>
        </w:rPr>
        <w:t>.</w:t>
      </w:r>
    </w:p>
    <w:p w:rsidR="00737DDB" w:rsidRPr="003036D1" w:rsidRDefault="00737DDB" w:rsidP="003036D1">
      <w:pPr>
        <w:spacing w:before="120"/>
        <w:jc w:val="both"/>
        <w:rPr>
          <w:iCs/>
          <w:sz w:val="28"/>
          <w:szCs w:val="28"/>
          <w:u w:val="single"/>
        </w:rPr>
      </w:pPr>
      <w:r w:rsidRPr="003036D1">
        <w:rPr>
          <w:iCs/>
          <w:sz w:val="28"/>
          <w:szCs w:val="28"/>
          <w:u w:val="single"/>
        </w:rPr>
        <w:t>Освещение монумента трудовой славы</w:t>
      </w:r>
    </w:p>
    <w:p w:rsidR="00737DDB" w:rsidRPr="003036D1" w:rsidRDefault="00737DDB" w:rsidP="003036D1">
      <w:pPr>
        <w:ind w:firstLine="709"/>
        <w:jc w:val="both"/>
        <w:rPr>
          <w:sz w:val="28"/>
          <w:szCs w:val="28"/>
        </w:rPr>
      </w:pPr>
      <w:r w:rsidRPr="003036D1">
        <w:rPr>
          <w:sz w:val="28"/>
          <w:szCs w:val="28"/>
        </w:rPr>
        <w:t>Мероприятия осуществлены Управлением культуры</w:t>
      </w:r>
      <w:r w:rsidR="00624CC4" w:rsidRPr="003036D1">
        <w:rPr>
          <w:sz w:val="28"/>
          <w:szCs w:val="28"/>
        </w:rPr>
        <w:t xml:space="preserve"> в 2019 году. З</w:t>
      </w:r>
      <w:r w:rsidRPr="003036D1">
        <w:rPr>
          <w:sz w:val="28"/>
          <w:szCs w:val="28"/>
        </w:rPr>
        <w:t>аключен один муниципальный контракт на сумму 1 300,0 тыс. рублей.</w:t>
      </w:r>
      <w:r w:rsidR="00624CC4" w:rsidRPr="003036D1">
        <w:rPr>
          <w:sz w:val="28"/>
          <w:szCs w:val="28"/>
        </w:rPr>
        <w:t xml:space="preserve"> Проверкой установлено:</w:t>
      </w:r>
    </w:p>
    <w:p w:rsidR="00737DDB" w:rsidRPr="003036D1" w:rsidRDefault="00624CC4" w:rsidP="003036D1">
      <w:pPr>
        <w:jc w:val="both"/>
        <w:rPr>
          <w:sz w:val="28"/>
          <w:szCs w:val="28"/>
        </w:rPr>
      </w:pPr>
      <w:r w:rsidRPr="003036D1">
        <w:rPr>
          <w:sz w:val="28"/>
          <w:szCs w:val="28"/>
        </w:rPr>
        <w:t>- в</w:t>
      </w:r>
      <w:r w:rsidR="00737DDB" w:rsidRPr="003036D1">
        <w:rPr>
          <w:sz w:val="28"/>
          <w:szCs w:val="28"/>
        </w:rPr>
        <w:t xml:space="preserve"> нарушение части 7.1. статьи 94 Федерального закона № 44-ФЗ, Управлением культуры осуществлена приемка работ в отсутствие обеспечения гарантийных обязательств на сумму 26 тыс. рублей</w:t>
      </w:r>
      <w:r w:rsidRPr="003036D1">
        <w:rPr>
          <w:sz w:val="28"/>
          <w:szCs w:val="28"/>
        </w:rPr>
        <w:t>;</w:t>
      </w:r>
    </w:p>
    <w:p w:rsidR="00737DDB" w:rsidRPr="003036D1" w:rsidRDefault="00624CC4" w:rsidP="003036D1">
      <w:pPr>
        <w:jc w:val="both"/>
        <w:rPr>
          <w:sz w:val="28"/>
          <w:szCs w:val="28"/>
        </w:rPr>
      </w:pPr>
      <w:r w:rsidRPr="003036D1">
        <w:rPr>
          <w:sz w:val="28"/>
          <w:szCs w:val="28"/>
        </w:rPr>
        <w:t>- в</w:t>
      </w:r>
      <w:r w:rsidR="00737DDB" w:rsidRPr="003036D1">
        <w:rPr>
          <w:sz w:val="28"/>
          <w:szCs w:val="28"/>
        </w:rPr>
        <w:t xml:space="preserve"> заключении экспертизы результатов исполнения муниципального контракта отсутствуют подписи специалистов, проводивших экспертизу, предусмотренные формой заключения, в связи с чем экспертиза не может считаться проведенной</w:t>
      </w:r>
      <w:r w:rsidRPr="003036D1">
        <w:rPr>
          <w:sz w:val="28"/>
          <w:szCs w:val="28"/>
        </w:rPr>
        <w:t>;</w:t>
      </w:r>
    </w:p>
    <w:p w:rsidR="00737DDB" w:rsidRPr="003036D1" w:rsidRDefault="00624CC4" w:rsidP="003036D1">
      <w:pPr>
        <w:jc w:val="both"/>
        <w:rPr>
          <w:sz w:val="28"/>
          <w:szCs w:val="28"/>
        </w:rPr>
      </w:pPr>
      <w:r w:rsidRPr="003036D1">
        <w:rPr>
          <w:sz w:val="28"/>
          <w:szCs w:val="28"/>
        </w:rPr>
        <w:t>- д</w:t>
      </w:r>
      <w:r w:rsidR="00737DDB" w:rsidRPr="003036D1">
        <w:rPr>
          <w:sz w:val="28"/>
          <w:szCs w:val="28"/>
        </w:rPr>
        <w:t>окументы, подтверждающие гарантийный срок товара, не представлены</w:t>
      </w:r>
      <w:r w:rsidRPr="003036D1">
        <w:rPr>
          <w:sz w:val="28"/>
          <w:szCs w:val="28"/>
        </w:rPr>
        <w:t>, в связи с чем</w:t>
      </w:r>
      <w:r w:rsidR="00737DDB" w:rsidRPr="003036D1">
        <w:rPr>
          <w:sz w:val="28"/>
          <w:szCs w:val="28"/>
        </w:rPr>
        <w:t xml:space="preserve"> определить реальный срок гаран</w:t>
      </w:r>
      <w:r w:rsidRPr="003036D1">
        <w:rPr>
          <w:sz w:val="28"/>
          <w:szCs w:val="28"/>
        </w:rPr>
        <w:t>тии не представляется возможным;</w:t>
      </w:r>
    </w:p>
    <w:p w:rsidR="00737DDB" w:rsidRPr="003036D1" w:rsidRDefault="00624CC4" w:rsidP="003036D1">
      <w:pPr>
        <w:jc w:val="both"/>
        <w:rPr>
          <w:sz w:val="28"/>
          <w:szCs w:val="28"/>
        </w:rPr>
      </w:pPr>
      <w:r w:rsidRPr="003036D1">
        <w:rPr>
          <w:sz w:val="28"/>
          <w:szCs w:val="28"/>
        </w:rPr>
        <w:t>- в</w:t>
      </w:r>
      <w:r w:rsidR="00737DDB" w:rsidRPr="003036D1">
        <w:rPr>
          <w:sz w:val="28"/>
          <w:szCs w:val="28"/>
        </w:rPr>
        <w:t xml:space="preserve"> нарушение условий муниципального контракта, </w:t>
      </w:r>
      <w:r w:rsidRPr="003036D1">
        <w:rPr>
          <w:sz w:val="28"/>
          <w:szCs w:val="28"/>
        </w:rPr>
        <w:t>Управлением культуры</w:t>
      </w:r>
      <w:r w:rsidR="00737DDB" w:rsidRPr="003036D1">
        <w:rPr>
          <w:sz w:val="28"/>
          <w:szCs w:val="28"/>
        </w:rPr>
        <w:t xml:space="preserve"> не оформлялись документы по осуществлению ремонта в течение гарантийного срока, в связи с чем отсутствуют правовые основания для продления срока гарантии.</w:t>
      </w:r>
    </w:p>
    <w:p w:rsidR="00624CC4" w:rsidRPr="003036D1" w:rsidRDefault="00624CC4" w:rsidP="003036D1">
      <w:pPr>
        <w:pStyle w:val="af4"/>
        <w:spacing w:before="120"/>
        <w:ind w:left="-57" w:right="-57"/>
        <w:jc w:val="both"/>
        <w:rPr>
          <w:iCs/>
          <w:sz w:val="28"/>
          <w:szCs w:val="28"/>
          <w:u w:val="single"/>
        </w:rPr>
      </w:pPr>
      <w:r w:rsidRPr="003036D1">
        <w:rPr>
          <w:iCs/>
          <w:sz w:val="28"/>
          <w:szCs w:val="28"/>
          <w:u w:val="single"/>
        </w:rPr>
        <w:t>Благоустройство ул. Коммунистической (от ул. Советская до ул. Кирова)</w:t>
      </w:r>
    </w:p>
    <w:p w:rsidR="00624CC4" w:rsidRPr="003036D1" w:rsidRDefault="005C397F" w:rsidP="001B3580">
      <w:pPr>
        <w:pStyle w:val="af4"/>
        <w:spacing w:before="120"/>
        <w:ind w:left="-57" w:right="-57" w:firstLine="766"/>
        <w:jc w:val="both"/>
        <w:rPr>
          <w:rFonts w:eastAsia="Calibri"/>
          <w:sz w:val="28"/>
          <w:lang w:eastAsia="en-US"/>
        </w:rPr>
      </w:pPr>
      <w:r w:rsidRPr="003036D1">
        <w:rPr>
          <w:rFonts w:eastAsia="Calibri"/>
          <w:sz w:val="28"/>
          <w:lang w:eastAsia="en-US"/>
        </w:rPr>
        <w:t xml:space="preserve">Мероприятия осуществлены </w:t>
      </w:r>
      <w:r w:rsidR="00624CC4" w:rsidRPr="003036D1">
        <w:rPr>
          <w:rFonts w:eastAsia="Calibri"/>
          <w:sz w:val="28"/>
          <w:lang w:eastAsia="en-US"/>
        </w:rPr>
        <w:t>Управлением ЖКХ в 2018</w:t>
      </w:r>
      <w:r w:rsidRPr="003036D1">
        <w:rPr>
          <w:rFonts w:eastAsia="Calibri"/>
          <w:sz w:val="28"/>
          <w:lang w:eastAsia="en-US"/>
        </w:rPr>
        <w:t>-2019 годах. В 2018 году</w:t>
      </w:r>
      <w:r w:rsidR="00624CC4" w:rsidRPr="003036D1">
        <w:rPr>
          <w:rFonts w:eastAsia="Calibri"/>
          <w:sz w:val="28"/>
          <w:lang w:eastAsia="en-US"/>
        </w:rPr>
        <w:t xml:space="preserve"> по объекту была разработана проектно-сметная документация. Техническими характеристиками проекта предполагалось в покрытиях использовать натуральные материалы, мощеные гранитной брусчаткой и гранитной тротуарной плиткой с бордюрным камнем.</w:t>
      </w:r>
    </w:p>
    <w:p w:rsidR="00624CC4" w:rsidRPr="003036D1" w:rsidRDefault="00624CC4" w:rsidP="001B3580">
      <w:pPr>
        <w:pStyle w:val="af4"/>
        <w:ind w:left="-57" w:right="-57" w:firstLine="766"/>
        <w:jc w:val="both"/>
        <w:rPr>
          <w:rFonts w:eastAsia="Calibri"/>
          <w:sz w:val="28"/>
          <w:lang w:eastAsia="en-US"/>
        </w:rPr>
      </w:pPr>
      <w:r w:rsidRPr="003036D1">
        <w:rPr>
          <w:rFonts w:eastAsia="Calibri"/>
          <w:sz w:val="28"/>
          <w:lang w:eastAsia="en-US"/>
        </w:rPr>
        <w:lastRenderedPageBreak/>
        <w:t>В 2019 году осуществлено 14 закупок за счет средств местного бюджета на общую сумму 46 167,8 тыс. рублей.</w:t>
      </w:r>
      <w:r w:rsidR="005C397F" w:rsidRPr="003036D1">
        <w:rPr>
          <w:rFonts w:eastAsia="Calibri"/>
          <w:sz w:val="28"/>
          <w:lang w:eastAsia="en-US"/>
        </w:rPr>
        <w:t xml:space="preserve"> Проверкой установлено:</w:t>
      </w:r>
    </w:p>
    <w:p w:rsidR="00624CC4" w:rsidRPr="003036D1" w:rsidRDefault="005C397F" w:rsidP="003036D1">
      <w:pPr>
        <w:pStyle w:val="af4"/>
        <w:tabs>
          <w:tab w:val="left" w:pos="317"/>
        </w:tabs>
        <w:ind w:left="-57" w:right="-57"/>
        <w:jc w:val="both"/>
        <w:rPr>
          <w:rFonts w:eastAsia="Calibri"/>
          <w:sz w:val="28"/>
          <w:lang w:eastAsia="en-US"/>
        </w:rPr>
      </w:pPr>
      <w:r w:rsidRPr="003036D1">
        <w:rPr>
          <w:rFonts w:eastAsia="Calibri"/>
          <w:sz w:val="28"/>
          <w:lang w:eastAsia="en-US"/>
        </w:rPr>
        <w:t xml:space="preserve">- </w:t>
      </w:r>
      <w:r w:rsidR="00624CC4" w:rsidRPr="003036D1">
        <w:rPr>
          <w:rFonts w:eastAsia="Calibri"/>
          <w:sz w:val="28"/>
          <w:lang w:eastAsia="en-US"/>
        </w:rPr>
        <w:t>Управлением ЖКХ приняты и оплачены работы (материалы), не соответствующие условиям контракта. Письменные пояснения о причинах применения материалов, не соответствующих условиям контракта, не представлены</w:t>
      </w:r>
      <w:r w:rsidR="001B3580">
        <w:rPr>
          <w:rFonts w:eastAsia="Calibri"/>
          <w:sz w:val="28"/>
          <w:lang w:eastAsia="en-US"/>
        </w:rPr>
        <w:t>;</w:t>
      </w:r>
    </w:p>
    <w:p w:rsidR="00624CC4" w:rsidRPr="003036D1" w:rsidRDefault="005C397F" w:rsidP="003036D1">
      <w:pPr>
        <w:pStyle w:val="af4"/>
        <w:tabs>
          <w:tab w:val="left" w:pos="317"/>
        </w:tabs>
        <w:ind w:left="-57" w:right="-57"/>
        <w:jc w:val="both"/>
        <w:rPr>
          <w:rFonts w:eastAsia="Calibri"/>
          <w:sz w:val="28"/>
          <w:lang w:eastAsia="en-US"/>
        </w:rPr>
      </w:pPr>
      <w:r w:rsidRPr="003036D1">
        <w:rPr>
          <w:rFonts w:eastAsia="Calibri"/>
          <w:sz w:val="28"/>
          <w:lang w:eastAsia="en-US"/>
        </w:rPr>
        <w:t xml:space="preserve">- </w:t>
      </w:r>
      <w:r w:rsidR="00624CC4" w:rsidRPr="003036D1">
        <w:rPr>
          <w:rFonts w:eastAsia="Calibri"/>
          <w:sz w:val="28"/>
          <w:lang w:eastAsia="en-US"/>
        </w:rPr>
        <w:t>Управлением ЖКХ не использована банковская гарантия в период срока ее действия, в связи с чем с подрядчика не взысканы пени за нарушение срока исполнения контракта в сумме 278,5</w:t>
      </w:r>
      <w:r w:rsidR="001B3580">
        <w:rPr>
          <w:rFonts w:eastAsia="Calibri"/>
          <w:sz w:val="28"/>
          <w:lang w:eastAsia="en-US"/>
        </w:rPr>
        <w:t xml:space="preserve"> тыс. рублей;</w:t>
      </w:r>
    </w:p>
    <w:p w:rsidR="00624CC4" w:rsidRPr="003036D1" w:rsidRDefault="005C397F" w:rsidP="003036D1">
      <w:pPr>
        <w:pStyle w:val="af4"/>
        <w:pBdr>
          <w:top w:val="nil"/>
          <w:left w:val="nil"/>
          <w:bottom w:val="nil"/>
          <w:right w:val="nil"/>
          <w:between w:val="nil"/>
          <w:bar w:val="nil"/>
        </w:pBdr>
        <w:tabs>
          <w:tab w:val="left" w:pos="317"/>
        </w:tabs>
        <w:ind w:left="-57" w:right="-57"/>
        <w:jc w:val="both"/>
        <w:rPr>
          <w:rFonts w:eastAsia="Calibri"/>
          <w:sz w:val="28"/>
          <w:lang w:eastAsia="en-US"/>
        </w:rPr>
      </w:pPr>
      <w:r w:rsidRPr="003036D1">
        <w:rPr>
          <w:rFonts w:eastAsia="Calibri"/>
          <w:sz w:val="28"/>
          <w:lang w:eastAsia="en-US"/>
        </w:rPr>
        <w:t>- в</w:t>
      </w:r>
      <w:r w:rsidR="00624CC4" w:rsidRPr="003036D1">
        <w:rPr>
          <w:rFonts w:eastAsia="Calibri"/>
          <w:sz w:val="28"/>
          <w:lang w:eastAsia="en-US"/>
        </w:rPr>
        <w:t xml:space="preserve"> нарушение пункта 4 части 1 статьи 93 Федерального закона № 44-ФЗ, два муниципальных контракта (на 274,4 и 237,9 тыс. рублей) заключены без проведения конкурентных процедур в период действия редакции закона, предусматривающей заключение таких контрактов на суммы,</w:t>
      </w:r>
      <w:r w:rsidR="001B3580">
        <w:rPr>
          <w:rFonts w:eastAsia="Calibri"/>
          <w:sz w:val="28"/>
          <w:lang w:eastAsia="en-US"/>
        </w:rPr>
        <w:t xml:space="preserve"> не превышающие 100 тыс. рублей;</w:t>
      </w:r>
    </w:p>
    <w:p w:rsidR="00624CC4" w:rsidRPr="003036D1" w:rsidRDefault="005C397F" w:rsidP="003036D1">
      <w:pPr>
        <w:pStyle w:val="af4"/>
        <w:pBdr>
          <w:top w:val="nil"/>
          <w:left w:val="nil"/>
          <w:bottom w:val="nil"/>
          <w:right w:val="nil"/>
          <w:between w:val="nil"/>
          <w:bar w:val="nil"/>
        </w:pBdr>
        <w:tabs>
          <w:tab w:val="left" w:pos="317"/>
        </w:tabs>
        <w:ind w:left="-57" w:right="-57"/>
        <w:jc w:val="both"/>
        <w:rPr>
          <w:rFonts w:eastAsia="Calibri"/>
          <w:sz w:val="28"/>
          <w:lang w:eastAsia="en-US"/>
        </w:rPr>
      </w:pPr>
      <w:r w:rsidRPr="003036D1">
        <w:rPr>
          <w:rFonts w:eastAsia="Calibri"/>
          <w:sz w:val="28"/>
          <w:lang w:eastAsia="en-US"/>
        </w:rPr>
        <w:t xml:space="preserve">- </w:t>
      </w:r>
      <w:r w:rsidR="00624CC4" w:rsidRPr="003036D1">
        <w:rPr>
          <w:rFonts w:eastAsia="Calibri"/>
          <w:sz w:val="28"/>
          <w:lang w:eastAsia="en-US"/>
        </w:rPr>
        <w:t>Управлением ЖКХ не применены меры ответственности в отношении подрядчика за нарушение сроков выполнения</w:t>
      </w:r>
      <w:r w:rsidR="001B3580">
        <w:rPr>
          <w:rFonts w:eastAsia="Calibri"/>
          <w:sz w:val="28"/>
          <w:lang w:eastAsia="en-US"/>
        </w:rPr>
        <w:t xml:space="preserve"> работ на сумму 1,0 тыс. рублей;</w:t>
      </w:r>
    </w:p>
    <w:p w:rsidR="00624CC4" w:rsidRPr="003036D1" w:rsidRDefault="005C397F" w:rsidP="003036D1">
      <w:pPr>
        <w:pStyle w:val="af4"/>
        <w:pBdr>
          <w:top w:val="nil"/>
          <w:left w:val="nil"/>
          <w:bottom w:val="nil"/>
          <w:right w:val="nil"/>
          <w:between w:val="nil"/>
          <w:bar w:val="nil"/>
        </w:pBdr>
        <w:tabs>
          <w:tab w:val="left" w:pos="317"/>
        </w:tabs>
        <w:ind w:left="-57" w:right="-57"/>
        <w:jc w:val="both"/>
        <w:rPr>
          <w:rFonts w:eastAsia="Calibri"/>
          <w:sz w:val="28"/>
          <w:lang w:eastAsia="en-US"/>
        </w:rPr>
      </w:pPr>
      <w:r w:rsidRPr="003036D1">
        <w:rPr>
          <w:rFonts w:eastAsia="Calibri"/>
          <w:sz w:val="28"/>
          <w:lang w:eastAsia="en-US"/>
        </w:rPr>
        <w:t>- в</w:t>
      </w:r>
      <w:r w:rsidR="00624CC4" w:rsidRPr="003036D1">
        <w:rPr>
          <w:rFonts w:eastAsia="Calibri"/>
          <w:sz w:val="28"/>
          <w:lang w:eastAsia="en-US"/>
        </w:rPr>
        <w:t xml:space="preserve"> нарушение пункта 48 приказа Минфина России от 31.12.2016 № 256н, расходы, формирующие капитальные вложения по объекту </w:t>
      </w:r>
      <w:r w:rsidR="00624CC4" w:rsidRPr="003036D1">
        <w:rPr>
          <w:sz w:val="28"/>
          <w:szCs w:val="28"/>
        </w:rPr>
        <w:t>в сумме 40 791,1 тыс. рублей</w:t>
      </w:r>
      <w:r w:rsidR="00624CC4" w:rsidRPr="003036D1">
        <w:rPr>
          <w:rFonts w:eastAsia="Calibri"/>
          <w:sz w:val="28"/>
          <w:lang w:eastAsia="en-US"/>
        </w:rPr>
        <w:t>, не переданы балансодержателю имущества</w:t>
      </w:r>
      <w:r w:rsidR="001B3580">
        <w:rPr>
          <w:rFonts w:eastAsia="Calibri"/>
          <w:sz w:val="28"/>
          <w:lang w:eastAsia="en-US"/>
        </w:rPr>
        <w:t xml:space="preserve"> – МКП "Дорожное хозяйство";</w:t>
      </w:r>
    </w:p>
    <w:p w:rsidR="00624CC4" w:rsidRPr="003036D1" w:rsidRDefault="005C397F" w:rsidP="003036D1">
      <w:pPr>
        <w:pStyle w:val="af4"/>
        <w:pBdr>
          <w:top w:val="nil"/>
          <w:left w:val="nil"/>
          <w:bottom w:val="nil"/>
          <w:right w:val="nil"/>
          <w:between w:val="nil"/>
          <w:bar w:val="nil"/>
        </w:pBdr>
        <w:tabs>
          <w:tab w:val="left" w:pos="317"/>
        </w:tabs>
        <w:ind w:left="-57" w:right="-57"/>
        <w:jc w:val="both"/>
        <w:rPr>
          <w:rFonts w:eastAsia="Calibri"/>
          <w:sz w:val="28"/>
          <w:lang w:eastAsia="en-US"/>
        </w:rPr>
      </w:pPr>
      <w:r w:rsidRPr="003036D1">
        <w:rPr>
          <w:rFonts w:eastAsia="Calibri"/>
          <w:sz w:val="28"/>
          <w:lang w:eastAsia="en-US"/>
        </w:rPr>
        <w:t>- в</w:t>
      </w:r>
      <w:r w:rsidR="00624CC4" w:rsidRPr="003036D1">
        <w:rPr>
          <w:rFonts w:eastAsia="Calibri"/>
          <w:sz w:val="28"/>
          <w:lang w:eastAsia="en-US"/>
        </w:rPr>
        <w:t>изуальным осмотром установлено отсутствие одного фонарного столба, который был сломан в октябре 2020 года в результате дорожно-транспортного происшествия. Информация о планируемом ремонте и установке фонарного столба отсутствует.</w:t>
      </w:r>
    </w:p>
    <w:p w:rsidR="005C397F" w:rsidRPr="003036D1" w:rsidRDefault="005C397F" w:rsidP="003036D1">
      <w:pPr>
        <w:pStyle w:val="af4"/>
        <w:spacing w:before="120" w:after="120"/>
        <w:ind w:left="-57" w:right="-57"/>
        <w:jc w:val="both"/>
        <w:rPr>
          <w:rFonts w:eastAsia="Calibri"/>
          <w:sz w:val="28"/>
          <w:lang w:eastAsia="en-US"/>
        </w:rPr>
      </w:pPr>
      <w:r w:rsidRPr="003036D1">
        <w:rPr>
          <w:iCs/>
          <w:sz w:val="28"/>
          <w:szCs w:val="28"/>
          <w:u w:val="single"/>
        </w:rPr>
        <w:t>Благоустройство площади перед зданием Центрального плавательного бассейна</w:t>
      </w:r>
    </w:p>
    <w:p w:rsidR="005C397F" w:rsidRPr="003036D1" w:rsidRDefault="005C397F" w:rsidP="001B3580">
      <w:pPr>
        <w:pStyle w:val="af4"/>
        <w:ind w:left="-57" w:right="-57" w:firstLine="766"/>
        <w:jc w:val="both"/>
        <w:rPr>
          <w:rFonts w:eastAsia="Calibri"/>
          <w:sz w:val="28"/>
          <w:lang w:eastAsia="en-US"/>
        </w:rPr>
      </w:pPr>
      <w:r w:rsidRPr="003036D1">
        <w:rPr>
          <w:rFonts w:eastAsia="Calibri"/>
          <w:sz w:val="28"/>
          <w:lang w:eastAsia="en-US"/>
        </w:rPr>
        <w:t>Мероприятия осуществляются Управлением ЖКХ с 2018 года</w:t>
      </w:r>
      <w:r w:rsidR="00E55A40" w:rsidRPr="003036D1">
        <w:rPr>
          <w:rFonts w:eastAsia="Calibri"/>
          <w:sz w:val="28"/>
          <w:lang w:eastAsia="en-US"/>
        </w:rPr>
        <w:t>. На момент проведения проверки реализация мероприятий продолжается</w:t>
      </w:r>
      <w:r w:rsidRPr="003036D1">
        <w:rPr>
          <w:rFonts w:eastAsia="Calibri"/>
          <w:sz w:val="28"/>
          <w:lang w:eastAsia="en-US"/>
        </w:rPr>
        <w:t>. В 2018 году по объекту была разработана проектно-сметная документация. Техническими характеристиками проекта предполагалось в покрытиях использовать натуральные материалы, мощеные гранитной брусчаткой и гранитной тротуарной плиткой с бордюрным камнем.</w:t>
      </w:r>
    </w:p>
    <w:p w:rsidR="005C397F" w:rsidRPr="003036D1" w:rsidRDefault="005C397F" w:rsidP="001B3580">
      <w:pPr>
        <w:pStyle w:val="af4"/>
        <w:ind w:left="-57" w:right="-57" w:firstLine="766"/>
        <w:jc w:val="both"/>
        <w:rPr>
          <w:rFonts w:eastAsia="Calibri"/>
          <w:sz w:val="28"/>
          <w:lang w:eastAsia="en-US"/>
        </w:rPr>
      </w:pPr>
      <w:r w:rsidRPr="003036D1">
        <w:rPr>
          <w:rFonts w:eastAsia="Calibri"/>
          <w:sz w:val="28"/>
          <w:lang w:eastAsia="en-US"/>
        </w:rPr>
        <w:t>Работы по благоустройству площади перед зданием Центрального плавательного бассейна выполняются в два этапа: 1 этап в 2020 году, 2 этап в 2021 году.</w:t>
      </w:r>
    </w:p>
    <w:p w:rsidR="005C397F" w:rsidRPr="003036D1" w:rsidRDefault="005C397F" w:rsidP="001B3580">
      <w:pPr>
        <w:pStyle w:val="af4"/>
        <w:ind w:left="-57" w:right="-57" w:firstLine="766"/>
        <w:jc w:val="both"/>
        <w:rPr>
          <w:rFonts w:eastAsia="Calibri"/>
          <w:sz w:val="28"/>
          <w:lang w:eastAsia="en-US"/>
        </w:rPr>
      </w:pPr>
      <w:r w:rsidRPr="003036D1">
        <w:rPr>
          <w:rFonts w:eastAsia="Calibri"/>
          <w:sz w:val="28"/>
          <w:lang w:eastAsia="en-US"/>
        </w:rPr>
        <w:t>В 2020 году заключены 6 контрактов (договоров) за счет средств вышестоящих бюджетов (83 процента) и средств местного бюджета (17 процентов) на общую сумму 113 973,7 тыс. рублей. Работы по 1 этапу выполнены в установленный срок и оплачены в полном объеме.</w:t>
      </w:r>
    </w:p>
    <w:p w:rsidR="005C397F" w:rsidRPr="003036D1" w:rsidRDefault="005C397F" w:rsidP="003036D1">
      <w:pPr>
        <w:pStyle w:val="af4"/>
        <w:spacing w:before="120" w:after="120"/>
        <w:ind w:left="-57" w:right="-57"/>
        <w:jc w:val="both"/>
        <w:rPr>
          <w:iCs/>
          <w:sz w:val="28"/>
          <w:szCs w:val="28"/>
          <w:u w:val="single"/>
        </w:rPr>
      </w:pPr>
      <w:r w:rsidRPr="003036D1">
        <w:rPr>
          <w:iCs/>
          <w:sz w:val="28"/>
          <w:szCs w:val="28"/>
          <w:u w:val="single"/>
        </w:rPr>
        <w:t>Благоустройство пешеходной зоны по ул. Интернациональная (от ул. Орджоникидзе до ул. Энгельса)</w:t>
      </w:r>
    </w:p>
    <w:p w:rsidR="00E55A40" w:rsidRDefault="00E55A40" w:rsidP="001B3580">
      <w:pPr>
        <w:pStyle w:val="af4"/>
        <w:ind w:left="-57" w:right="-57" w:firstLine="766"/>
        <w:jc w:val="both"/>
        <w:rPr>
          <w:sz w:val="28"/>
          <w:szCs w:val="28"/>
        </w:rPr>
      </w:pPr>
      <w:r w:rsidRPr="003036D1">
        <w:rPr>
          <w:iCs/>
          <w:sz w:val="28"/>
          <w:szCs w:val="28"/>
        </w:rPr>
        <w:t xml:space="preserve">Мероприятия осуществляются Управлением ЖКХ с 2020 года. На момент проведения проверки мероприятия не закончены </w:t>
      </w:r>
      <w:r w:rsidRPr="003036D1">
        <w:rPr>
          <w:rFonts w:eastAsia="Calibri"/>
          <w:sz w:val="28"/>
          <w:lang w:eastAsia="en-US"/>
        </w:rPr>
        <w:t xml:space="preserve">(часть работ не принята в связи </w:t>
      </w:r>
      <w:r w:rsidRPr="003036D1">
        <w:rPr>
          <w:sz w:val="28"/>
          <w:szCs w:val="28"/>
        </w:rPr>
        <w:t xml:space="preserve">с многочисленными замечаниями и недостатками, препятствующими приемке работ в полном объеме). </w:t>
      </w:r>
      <w:r w:rsidRPr="003036D1">
        <w:rPr>
          <w:bCs/>
          <w:sz w:val="28"/>
          <w:szCs w:val="28"/>
        </w:rPr>
        <w:t>Планируемый срок выполнения обязательств до 25.06.2021.</w:t>
      </w:r>
    </w:p>
    <w:p w:rsidR="00E55A40" w:rsidRPr="003036D1" w:rsidRDefault="00E55A40" w:rsidP="001B3580">
      <w:pPr>
        <w:pStyle w:val="af4"/>
        <w:ind w:left="-57" w:right="-57" w:firstLine="766"/>
        <w:jc w:val="both"/>
        <w:rPr>
          <w:iCs/>
          <w:sz w:val="28"/>
          <w:szCs w:val="28"/>
        </w:rPr>
      </w:pPr>
      <w:r w:rsidRPr="003036D1">
        <w:rPr>
          <w:iCs/>
          <w:sz w:val="28"/>
          <w:szCs w:val="28"/>
        </w:rPr>
        <w:t xml:space="preserve">В 2020 году Управлением ЖКХ заключены 4 контракта (договора) за счет средств вышестоящих бюджетов (65 процентов) и средств местного бюджета (35 </w:t>
      </w:r>
      <w:r w:rsidRPr="003036D1">
        <w:rPr>
          <w:iCs/>
          <w:sz w:val="28"/>
          <w:szCs w:val="28"/>
        </w:rPr>
        <w:lastRenderedPageBreak/>
        <w:t>процентов) на общую сумму 15 299,5 тыс. рублей.</w:t>
      </w:r>
    </w:p>
    <w:p w:rsidR="00E55A40" w:rsidRPr="003036D1" w:rsidRDefault="005C397F" w:rsidP="001B3580">
      <w:pPr>
        <w:pStyle w:val="af4"/>
        <w:ind w:left="-57" w:right="-57" w:firstLine="766"/>
        <w:jc w:val="both"/>
        <w:rPr>
          <w:iCs/>
          <w:sz w:val="28"/>
          <w:szCs w:val="28"/>
        </w:rPr>
      </w:pPr>
      <w:r w:rsidRPr="003036D1">
        <w:rPr>
          <w:iCs/>
          <w:sz w:val="28"/>
          <w:szCs w:val="28"/>
        </w:rPr>
        <w:t>Проектно-сметная документация по объекту не разрабатывалась, так как обязанность по ее разработке в отношении мероприятий по благоустройству, не предусматривающих строительство (реконструкцию) объектов капитального строительства, действующим законодательством не предусмотрена.</w:t>
      </w:r>
    </w:p>
    <w:p w:rsidR="005C397F" w:rsidRPr="003036D1" w:rsidRDefault="005C397F" w:rsidP="001B3580">
      <w:pPr>
        <w:pStyle w:val="af4"/>
        <w:ind w:left="-57" w:right="-57" w:firstLine="766"/>
        <w:jc w:val="both"/>
        <w:rPr>
          <w:iCs/>
          <w:sz w:val="28"/>
          <w:szCs w:val="28"/>
        </w:rPr>
      </w:pPr>
      <w:r w:rsidRPr="003036D1">
        <w:rPr>
          <w:iCs/>
          <w:sz w:val="28"/>
          <w:szCs w:val="28"/>
        </w:rPr>
        <w:t>Управлением ЖКХ не использована банковская гарантия в период срока ее действия, в связи с чем с подрядчика не взысканы пени за нарушение срока исполнения контракта в сумме 63,8 тыс. рублей. При этом в период действия гарантии подрядчику направлялась только претензия.</w:t>
      </w:r>
    </w:p>
    <w:p w:rsidR="00EC001E" w:rsidRPr="003036D1" w:rsidRDefault="00EC001E" w:rsidP="003036D1">
      <w:pPr>
        <w:pStyle w:val="af4"/>
        <w:spacing w:before="120" w:after="120"/>
        <w:ind w:left="-57" w:right="-57"/>
        <w:jc w:val="both"/>
        <w:rPr>
          <w:iCs/>
          <w:sz w:val="28"/>
          <w:szCs w:val="28"/>
          <w:u w:val="single"/>
        </w:rPr>
      </w:pPr>
      <w:r w:rsidRPr="003036D1">
        <w:rPr>
          <w:iCs/>
          <w:sz w:val="28"/>
          <w:szCs w:val="28"/>
          <w:u w:val="single"/>
        </w:rPr>
        <w:t>Качество, целесообразность и эффективность осуществления закупок</w:t>
      </w:r>
    </w:p>
    <w:p w:rsidR="00EC001E" w:rsidRPr="003036D1" w:rsidRDefault="00EC001E" w:rsidP="003036D1">
      <w:pPr>
        <w:pStyle w:val="af4"/>
        <w:pBdr>
          <w:top w:val="nil"/>
          <w:left w:val="nil"/>
          <w:bottom w:val="nil"/>
          <w:right w:val="nil"/>
          <w:between w:val="nil"/>
          <w:bar w:val="nil"/>
        </w:pBdr>
        <w:ind w:left="-57" w:right="-57" w:firstLine="624"/>
        <w:jc w:val="both"/>
        <w:rPr>
          <w:rFonts w:ascii="Times" w:eastAsia="Arial Unicode MS" w:hAnsi="Times" w:cs="Arial Unicode MS"/>
          <w:sz w:val="28"/>
          <w:bdr w:val="nil"/>
        </w:rPr>
      </w:pPr>
      <w:r w:rsidRPr="003036D1">
        <w:rPr>
          <w:rFonts w:ascii="Times" w:eastAsia="Arial Unicode MS" w:hAnsi="Times" w:cs="Arial Unicode MS"/>
          <w:sz w:val="28"/>
          <w:bdr w:val="nil"/>
        </w:rPr>
        <w:t xml:space="preserve">Техническими заданиями к проектно-сметной документации объектов благоустройства </w:t>
      </w:r>
      <w:r w:rsidRPr="003036D1">
        <w:rPr>
          <w:rFonts w:ascii="Times" w:eastAsia="Arial Unicode MS" w:hAnsi="Times" w:cs="Arial Unicode MS"/>
          <w:i/>
          <w:sz w:val="28"/>
          <w:bdr w:val="nil"/>
        </w:rPr>
        <w:t>"ул. Коммунистическая (от ул. Советская до ул. Кирова)"</w:t>
      </w:r>
      <w:r w:rsidRPr="003036D1">
        <w:rPr>
          <w:rFonts w:ascii="Times" w:eastAsia="Arial Unicode MS" w:hAnsi="Times" w:cs="Arial Unicode MS"/>
          <w:sz w:val="28"/>
          <w:bdr w:val="nil"/>
        </w:rPr>
        <w:t xml:space="preserve"> и </w:t>
      </w:r>
      <w:r w:rsidRPr="003036D1">
        <w:rPr>
          <w:rFonts w:ascii="Times" w:eastAsia="Arial Unicode MS" w:hAnsi="Times" w:cs="Arial Unicode MS"/>
          <w:i/>
          <w:sz w:val="28"/>
          <w:bdr w:val="nil"/>
        </w:rPr>
        <w:t>"Площадь перед зданием Центрального плавательного бассейна"</w:t>
      </w:r>
      <w:r w:rsidRPr="003036D1">
        <w:rPr>
          <w:rFonts w:ascii="Times" w:eastAsia="Arial Unicode MS" w:hAnsi="Times" w:cs="Arial Unicode MS"/>
          <w:sz w:val="28"/>
          <w:bdr w:val="nil"/>
        </w:rPr>
        <w:t xml:space="preserve"> изначально было предусмотрено использование в покрытиях натуральных материалов, мощение гранитной брусчаткой и гранитной тротуарной плиткой, а также усиленная конструкция дорожной одежды пешеходных дорожек, очистка которых будет осуществляться механизированным способом.</w:t>
      </w:r>
    </w:p>
    <w:p w:rsidR="00EC001E" w:rsidRPr="003036D1" w:rsidRDefault="00EC001E" w:rsidP="003036D1">
      <w:pPr>
        <w:pStyle w:val="af4"/>
        <w:pBdr>
          <w:top w:val="nil"/>
          <w:left w:val="nil"/>
          <w:bottom w:val="nil"/>
          <w:right w:val="nil"/>
          <w:between w:val="nil"/>
          <w:bar w:val="nil"/>
        </w:pBdr>
        <w:ind w:left="-57" w:right="-57" w:firstLine="624"/>
        <w:jc w:val="both"/>
        <w:rPr>
          <w:rFonts w:ascii="Times" w:eastAsia="Arial Unicode MS" w:hAnsi="Times" w:cs="Arial Unicode MS"/>
          <w:sz w:val="28"/>
          <w:bdr w:val="nil"/>
        </w:rPr>
      </w:pPr>
      <w:r w:rsidRPr="003036D1">
        <w:rPr>
          <w:rFonts w:ascii="Times" w:eastAsia="Arial Unicode MS" w:hAnsi="Times" w:cs="Arial Unicode MS"/>
          <w:sz w:val="28"/>
          <w:bdr w:val="nil"/>
        </w:rPr>
        <w:t xml:space="preserve">Согласно представленным паспортам качества, гранитная плитка превосходит бетонную брусчатку, в том числе по таким важным для северных районов показателям, как </w:t>
      </w:r>
      <w:proofErr w:type="spellStart"/>
      <w:r w:rsidRPr="003036D1">
        <w:rPr>
          <w:rFonts w:ascii="Times" w:eastAsia="Arial Unicode MS" w:hAnsi="Times" w:cs="Arial Unicode MS"/>
          <w:sz w:val="28"/>
          <w:bdr w:val="nil"/>
        </w:rPr>
        <w:t>водопоглощение</w:t>
      </w:r>
      <w:proofErr w:type="spellEnd"/>
      <w:r w:rsidRPr="003036D1">
        <w:rPr>
          <w:rFonts w:ascii="Times" w:eastAsia="Arial Unicode MS" w:hAnsi="Times" w:cs="Arial Unicode MS"/>
          <w:sz w:val="28"/>
          <w:bdr w:val="nil"/>
        </w:rPr>
        <w:t xml:space="preserve"> и морозостойкость, что влечет увеличение срока эксплуатации пешеходных дорожек. Кроме того, гранит более устойчив к механизированным способам очистки и воздействию реагентов.</w:t>
      </w:r>
    </w:p>
    <w:p w:rsidR="001B3580" w:rsidRPr="003036D1" w:rsidRDefault="001B3580" w:rsidP="001B3580">
      <w:pPr>
        <w:pStyle w:val="af4"/>
        <w:pBdr>
          <w:top w:val="nil"/>
          <w:left w:val="nil"/>
          <w:bottom w:val="nil"/>
          <w:right w:val="nil"/>
          <w:between w:val="nil"/>
          <w:bar w:val="nil"/>
        </w:pBdr>
        <w:spacing w:before="120"/>
        <w:ind w:left="-57" w:right="-57" w:firstLine="624"/>
        <w:jc w:val="both"/>
        <w:rPr>
          <w:rFonts w:ascii="Times" w:eastAsia="Arial Unicode MS" w:hAnsi="Times" w:cs="Arial Unicode MS"/>
          <w:sz w:val="28"/>
          <w:bdr w:val="nil"/>
        </w:rPr>
      </w:pPr>
      <w:r w:rsidRPr="003036D1">
        <w:rPr>
          <w:rFonts w:ascii="Times" w:eastAsia="Arial Unicode MS" w:hAnsi="Times" w:cs="Arial Unicode MS"/>
          <w:sz w:val="28"/>
          <w:bdr w:val="nil"/>
        </w:rPr>
        <w:t>Годовые объемы закупок с единственным поставщиком составляют менее 10 процентов от совокупного годового объема закупок. Таким образом, действия заказчиков в виде заключения контрактов без проведения конкурентных процедур не нарушают положений Федерального закона № 44-ФЗ.</w:t>
      </w:r>
    </w:p>
    <w:p w:rsidR="00624CC4" w:rsidRPr="003036D1" w:rsidRDefault="00EC001E" w:rsidP="001B3580">
      <w:pPr>
        <w:pStyle w:val="af4"/>
        <w:pBdr>
          <w:top w:val="nil"/>
          <w:left w:val="nil"/>
          <w:bottom w:val="nil"/>
          <w:right w:val="nil"/>
          <w:between w:val="nil"/>
          <w:bar w:val="nil"/>
        </w:pBdr>
        <w:spacing w:before="120"/>
        <w:ind w:left="-57" w:right="-57" w:firstLine="624"/>
        <w:jc w:val="both"/>
        <w:rPr>
          <w:sz w:val="28"/>
          <w:szCs w:val="28"/>
        </w:rPr>
      </w:pPr>
      <w:r w:rsidRPr="003036D1">
        <w:rPr>
          <w:rFonts w:ascii="Times" w:eastAsia="Arial Unicode MS" w:hAnsi="Times" w:cs="Arial Unicode MS"/>
          <w:sz w:val="28"/>
          <w:bdr w:val="nil"/>
        </w:rPr>
        <w:t xml:space="preserve">Экономия бюджетных средств, в результате применения конкурентных способов наблюдается только по одной закупке (в целях оказания услуг по контролю за выполнением работ) и составила 467,7 тыс. рублей или 78,6 процента от </w:t>
      </w:r>
      <w:r w:rsidR="003036D1">
        <w:rPr>
          <w:rFonts w:ascii="Times" w:eastAsia="Arial Unicode MS" w:hAnsi="Times" w:cs="Arial Unicode MS"/>
          <w:sz w:val="28"/>
          <w:bdr w:val="nil"/>
        </w:rPr>
        <w:t>начальной (максимальной) цены контракта</w:t>
      </w:r>
      <w:r w:rsidRPr="003036D1">
        <w:rPr>
          <w:rFonts w:ascii="Times" w:eastAsia="Arial Unicode MS" w:hAnsi="Times" w:cs="Arial Unicode MS"/>
          <w:sz w:val="28"/>
          <w:bdr w:val="nil"/>
        </w:rPr>
        <w:t>. Экономия бюджетных средств, в связи с расторжением (уменьшением) суммы контракта по фактически выполненным работам, составила 4 908,9 тыс. рублей</w:t>
      </w:r>
      <w:r w:rsidR="00221412">
        <w:rPr>
          <w:rFonts w:ascii="Times" w:eastAsia="Arial Unicode MS" w:hAnsi="Times" w:cs="Arial Unicode MS"/>
          <w:sz w:val="28"/>
          <w:bdr w:val="nil"/>
        </w:rPr>
        <w:t xml:space="preserve"> или 11,5 процента от цены контракта</w:t>
      </w:r>
      <w:r w:rsidRPr="003036D1">
        <w:rPr>
          <w:sz w:val="28"/>
          <w:szCs w:val="28"/>
        </w:rPr>
        <w:t>.</w:t>
      </w:r>
    </w:p>
    <w:p w:rsidR="00EC001E" w:rsidRPr="003036D1" w:rsidRDefault="00EC001E" w:rsidP="001B3580">
      <w:pPr>
        <w:pBdr>
          <w:top w:val="nil"/>
          <w:left w:val="nil"/>
          <w:bottom w:val="nil"/>
          <w:right w:val="nil"/>
          <w:between w:val="nil"/>
          <w:bar w:val="nil"/>
        </w:pBdr>
        <w:spacing w:before="120"/>
        <w:ind w:firstLine="720"/>
        <w:jc w:val="both"/>
        <w:rPr>
          <w:rFonts w:ascii="Times" w:eastAsia="Arial Unicode MS" w:hAnsi="Times" w:cs="Arial Unicode MS"/>
          <w:sz w:val="28"/>
          <w:bdr w:val="nil"/>
        </w:rPr>
      </w:pPr>
      <w:r w:rsidRPr="003036D1">
        <w:rPr>
          <w:rFonts w:ascii="Times" w:eastAsia="Arial Unicode MS" w:hAnsi="Times" w:cs="Arial Unicode MS"/>
          <w:sz w:val="28"/>
          <w:bdr w:val="nil"/>
        </w:rPr>
        <w:t>При проведении аудита были установлены нарушения и замечания, в том числе носящие систематический характер:</w:t>
      </w:r>
    </w:p>
    <w:p w:rsidR="00EC001E" w:rsidRPr="003036D1" w:rsidRDefault="00EC001E" w:rsidP="003036D1">
      <w:pPr>
        <w:pStyle w:val="af4"/>
        <w:pBdr>
          <w:top w:val="nil"/>
          <w:left w:val="nil"/>
          <w:bottom w:val="nil"/>
          <w:right w:val="nil"/>
          <w:between w:val="nil"/>
          <w:bar w:val="nil"/>
        </w:pBdr>
        <w:ind w:left="-57" w:right="-57"/>
        <w:jc w:val="both"/>
        <w:rPr>
          <w:rFonts w:ascii="Times" w:eastAsia="Arial Unicode MS" w:hAnsi="Times" w:cs="Arial Unicode MS"/>
          <w:sz w:val="28"/>
          <w:bdr w:val="nil"/>
        </w:rPr>
      </w:pPr>
      <w:r w:rsidRPr="003036D1">
        <w:rPr>
          <w:rFonts w:ascii="Times" w:eastAsia="Arial Unicode MS" w:hAnsi="Times" w:cs="Arial Unicode MS"/>
          <w:sz w:val="28"/>
          <w:bdr w:val="nil"/>
        </w:rPr>
        <w:t>- заказчиками при осуществлении деятельности в сфере закупок не используются Методические рекомендации Минэкономразвития России: по реализации дополнительных профессиональных программ повышения квалификации в сфере закупок;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001E" w:rsidRPr="003036D1" w:rsidRDefault="00EC001E" w:rsidP="003036D1">
      <w:pPr>
        <w:pStyle w:val="af4"/>
        <w:pBdr>
          <w:top w:val="nil"/>
          <w:left w:val="nil"/>
          <w:bottom w:val="nil"/>
          <w:right w:val="nil"/>
          <w:between w:val="nil"/>
          <w:bar w:val="nil"/>
        </w:pBdr>
        <w:ind w:left="-57" w:right="-57"/>
        <w:jc w:val="both"/>
        <w:rPr>
          <w:rFonts w:ascii="Times" w:eastAsia="Arial Unicode MS" w:hAnsi="Times" w:cs="Arial Unicode MS"/>
          <w:sz w:val="28"/>
          <w:bdr w:val="nil"/>
        </w:rPr>
      </w:pPr>
      <w:r w:rsidRPr="003036D1">
        <w:rPr>
          <w:rFonts w:ascii="Times" w:eastAsia="Arial Unicode MS" w:hAnsi="Times" w:cs="Arial Unicode MS"/>
          <w:sz w:val="28"/>
          <w:bdr w:val="nil"/>
        </w:rPr>
        <w:t xml:space="preserve">- заказчиками не проводится анализ потенциальных подрядчиков на наличие аффилированности при определении начальной (максимальной) </w:t>
      </w:r>
      <w:r w:rsidR="003036D1">
        <w:rPr>
          <w:rFonts w:ascii="Times" w:eastAsia="Arial Unicode MS" w:hAnsi="Times" w:cs="Arial Unicode MS"/>
          <w:sz w:val="28"/>
          <w:bdr w:val="nil"/>
        </w:rPr>
        <w:t>цены контракта</w:t>
      </w:r>
      <w:r w:rsidRPr="003036D1">
        <w:rPr>
          <w:rFonts w:ascii="Times" w:eastAsia="Arial Unicode MS" w:hAnsi="Times" w:cs="Arial Unicode MS"/>
          <w:sz w:val="28"/>
          <w:bdr w:val="nil"/>
        </w:rPr>
        <w:t>;</w:t>
      </w:r>
    </w:p>
    <w:p w:rsidR="00EC001E" w:rsidRPr="003036D1" w:rsidRDefault="00EC001E" w:rsidP="003036D1">
      <w:pPr>
        <w:pStyle w:val="af4"/>
        <w:pBdr>
          <w:top w:val="nil"/>
          <w:left w:val="nil"/>
          <w:bottom w:val="nil"/>
          <w:right w:val="nil"/>
          <w:between w:val="nil"/>
          <w:bar w:val="nil"/>
        </w:pBdr>
        <w:ind w:left="-57" w:right="-57"/>
        <w:jc w:val="both"/>
        <w:rPr>
          <w:rFonts w:ascii="Times" w:eastAsia="Arial Unicode MS" w:hAnsi="Times" w:cs="Arial Unicode MS"/>
          <w:sz w:val="28"/>
          <w:bdr w:val="nil"/>
        </w:rPr>
      </w:pPr>
      <w:r w:rsidRPr="003036D1">
        <w:rPr>
          <w:rFonts w:ascii="Times" w:eastAsia="Arial Unicode MS" w:hAnsi="Times" w:cs="Arial Unicode MS"/>
          <w:sz w:val="28"/>
          <w:bdr w:val="nil"/>
        </w:rPr>
        <w:t xml:space="preserve">- факты нарушения обязательств со стороны заказчиков, которые могут повлечь неэффективное использование бюджетных средств, связанных с выплатой пеней </w:t>
      </w:r>
      <w:r w:rsidRPr="003036D1">
        <w:rPr>
          <w:rFonts w:ascii="Times" w:eastAsia="Arial Unicode MS" w:hAnsi="Times" w:cs="Arial Unicode MS"/>
          <w:sz w:val="28"/>
          <w:bdr w:val="nil"/>
        </w:rPr>
        <w:lastRenderedPageBreak/>
        <w:t xml:space="preserve">и штрафов, в том числе в части сроков оплаты выполненных работ, что является нарушением требований </w:t>
      </w:r>
      <w:r w:rsidRPr="003036D1">
        <w:rPr>
          <w:sz w:val="28"/>
        </w:rPr>
        <w:t xml:space="preserve">части 13.1 статьи 34 </w:t>
      </w:r>
      <w:r w:rsidRPr="003036D1">
        <w:rPr>
          <w:sz w:val="28"/>
          <w:szCs w:val="28"/>
        </w:rPr>
        <w:t>Федерального закона № 44-ФЗ</w:t>
      </w:r>
      <w:r w:rsidRPr="003036D1">
        <w:rPr>
          <w:rFonts w:ascii="Times" w:eastAsia="Arial Unicode MS" w:hAnsi="Times" w:cs="Arial Unicode MS"/>
          <w:sz w:val="28"/>
          <w:bdr w:val="nil"/>
        </w:rPr>
        <w:t xml:space="preserve">. </w:t>
      </w:r>
      <w:r w:rsidR="00C143ED" w:rsidRPr="003036D1">
        <w:rPr>
          <w:rFonts w:ascii="Times" w:eastAsia="Arial Unicode MS" w:hAnsi="Times" w:cs="Arial Unicode MS"/>
          <w:sz w:val="28"/>
          <w:bdr w:val="nil"/>
        </w:rPr>
        <w:t>Материалы по указанным фактам направлены в Управление Федеральной антимонопольной службы по Республике Коми</w:t>
      </w:r>
      <w:r w:rsidRPr="003036D1">
        <w:rPr>
          <w:rFonts w:ascii="Times" w:eastAsia="Arial Unicode MS" w:hAnsi="Times" w:cs="Arial Unicode MS"/>
          <w:sz w:val="28"/>
          <w:bdr w:val="nil"/>
        </w:rPr>
        <w:t>;</w:t>
      </w:r>
    </w:p>
    <w:p w:rsidR="00EC001E" w:rsidRPr="003036D1" w:rsidRDefault="00EC001E" w:rsidP="003036D1">
      <w:pPr>
        <w:pStyle w:val="af4"/>
        <w:pBdr>
          <w:top w:val="nil"/>
          <w:left w:val="nil"/>
          <w:bottom w:val="nil"/>
          <w:right w:val="nil"/>
          <w:between w:val="nil"/>
          <w:bar w:val="nil"/>
        </w:pBdr>
        <w:ind w:left="-57" w:right="-57"/>
        <w:jc w:val="both"/>
        <w:rPr>
          <w:rFonts w:eastAsia="Calibri"/>
          <w:sz w:val="28"/>
          <w:lang w:eastAsia="en-US"/>
        </w:rPr>
      </w:pPr>
      <w:r w:rsidRPr="003036D1">
        <w:rPr>
          <w:rFonts w:ascii="Times" w:eastAsia="Arial Unicode MS" w:hAnsi="Times" w:cs="Arial Unicode MS"/>
          <w:sz w:val="28"/>
          <w:bdr w:val="nil"/>
        </w:rPr>
        <w:t>- в трех случаях Управлением ЖКХ допущено нарушение частей 2, 3 статьи 103 Федерального закона № 44-ФЗ, в части сроков размещения в единой информационной системе информации об изменении и исполнении муниципальных контрактов</w:t>
      </w:r>
      <w:r w:rsidR="001B3580">
        <w:rPr>
          <w:rFonts w:ascii="Times" w:eastAsia="Arial Unicode MS" w:hAnsi="Times" w:cs="Arial Unicode MS"/>
          <w:sz w:val="28"/>
          <w:bdr w:val="nil"/>
        </w:rPr>
        <w:t>.</w:t>
      </w:r>
      <w:r w:rsidRPr="003036D1">
        <w:rPr>
          <w:rFonts w:ascii="Times" w:eastAsia="Arial Unicode MS" w:hAnsi="Times" w:cs="Arial Unicode MS"/>
          <w:sz w:val="28"/>
          <w:bdr w:val="nil"/>
        </w:rPr>
        <w:t xml:space="preserve"> Материалы по указанным фактам направлены в </w:t>
      </w:r>
      <w:r w:rsidR="00C143ED" w:rsidRPr="003036D1">
        <w:rPr>
          <w:rFonts w:ascii="Times" w:eastAsia="Arial Unicode MS" w:hAnsi="Times" w:cs="Arial Unicode MS"/>
          <w:sz w:val="28"/>
          <w:bdr w:val="nil"/>
        </w:rPr>
        <w:t>Управление Федеральной антимонопольной службы по Республике Коми</w:t>
      </w:r>
      <w:r w:rsidRPr="003036D1">
        <w:rPr>
          <w:rFonts w:ascii="Times" w:eastAsia="Arial Unicode MS" w:hAnsi="Times" w:cs="Arial Unicode MS"/>
          <w:sz w:val="28"/>
          <w:bdr w:val="nil"/>
        </w:rPr>
        <w:t>.</w:t>
      </w:r>
    </w:p>
    <w:p w:rsidR="00B92D2A" w:rsidRPr="003036D1" w:rsidRDefault="00B92D2A" w:rsidP="003036D1">
      <w:pPr>
        <w:spacing w:before="120"/>
        <w:ind w:firstLine="709"/>
        <w:jc w:val="both"/>
        <w:rPr>
          <w:sz w:val="28"/>
          <w:szCs w:val="28"/>
        </w:rPr>
      </w:pPr>
      <w:r w:rsidRPr="003036D1">
        <w:rPr>
          <w:sz w:val="28"/>
          <w:szCs w:val="28"/>
        </w:rPr>
        <w:t xml:space="preserve">По итогам </w:t>
      </w:r>
      <w:r w:rsidR="00C143ED" w:rsidRPr="003036D1">
        <w:rPr>
          <w:sz w:val="28"/>
          <w:szCs w:val="28"/>
        </w:rPr>
        <w:t>аудита</w:t>
      </w:r>
      <w:r w:rsidRPr="003036D1">
        <w:rPr>
          <w:sz w:val="28"/>
          <w:szCs w:val="28"/>
        </w:rPr>
        <w:t xml:space="preserve"> подготовлены предложения по устранению выявленных нарушений и замечаний, в том числе:</w:t>
      </w:r>
    </w:p>
    <w:p w:rsidR="009C183A" w:rsidRPr="003036D1" w:rsidRDefault="009C183A" w:rsidP="003036D1">
      <w:pPr>
        <w:pStyle w:val="af4"/>
        <w:tabs>
          <w:tab w:val="left" w:pos="324"/>
        </w:tabs>
        <w:ind w:left="40" w:right="-57"/>
        <w:jc w:val="both"/>
        <w:rPr>
          <w:rFonts w:ascii="Times" w:eastAsia="Arial Unicode MS" w:hAnsi="Times" w:cs="Arial Unicode MS"/>
          <w:sz w:val="28"/>
          <w:bdr w:val="nil"/>
        </w:rPr>
      </w:pPr>
      <w:r w:rsidRPr="003036D1">
        <w:rPr>
          <w:rFonts w:ascii="Times" w:eastAsia="Arial Unicode MS" w:hAnsi="Times" w:cs="Arial Unicode MS"/>
          <w:sz w:val="28"/>
          <w:bdr w:val="nil"/>
        </w:rPr>
        <w:t>- обеспечить соблюдение методических рекомендаций Минэкономразвития России в сфере закупочной деятельности.</w:t>
      </w:r>
    </w:p>
    <w:p w:rsidR="009C183A" w:rsidRPr="003036D1" w:rsidRDefault="009C183A" w:rsidP="003036D1">
      <w:pPr>
        <w:pStyle w:val="af4"/>
        <w:tabs>
          <w:tab w:val="left" w:pos="317"/>
        </w:tabs>
        <w:ind w:left="40" w:right="-57"/>
        <w:jc w:val="both"/>
        <w:rPr>
          <w:rFonts w:ascii="Times" w:eastAsia="Arial Unicode MS" w:hAnsi="Times" w:cs="Arial Unicode MS"/>
          <w:sz w:val="28"/>
          <w:bdr w:val="nil"/>
        </w:rPr>
      </w:pPr>
      <w:r w:rsidRPr="003036D1">
        <w:rPr>
          <w:rFonts w:ascii="Times" w:eastAsia="Arial Unicode MS" w:hAnsi="Times" w:cs="Arial Unicode MS"/>
          <w:sz w:val="28"/>
          <w:bdr w:val="nil"/>
        </w:rPr>
        <w:t>- осуществлять анализ потенциальных исполнителей на предмет их аффилированности.</w:t>
      </w:r>
    </w:p>
    <w:p w:rsidR="009C183A" w:rsidRPr="003036D1" w:rsidRDefault="009C183A" w:rsidP="003036D1">
      <w:pPr>
        <w:pStyle w:val="af4"/>
        <w:tabs>
          <w:tab w:val="left" w:pos="317"/>
        </w:tabs>
        <w:ind w:left="40" w:right="-57"/>
        <w:jc w:val="both"/>
        <w:rPr>
          <w:rFonts w:ascii="Times" w:eastAsia="Arial Unicode MS" w:hAnsi="Times" w:cs="Arial Unicode MS"/>
          <w:sz w:val="28"/>
          <w:bdr w:val="nil"/>
        </w:rPr>
      </w:pPr>
      <w:r w:rsidRPr="003036D1">
        <w:rPr>
          <w:rFonts w:ascii="Times" w:eastAsia="Arial Unicode MS" w:hAnsi="Times" w:cs="Arial Unicode MS"/>
          <w:sz w:val="28"/>
          <w:bdr w:val="nil"/>
        </w:rPr>
        <w:t>- рассмотреть вопрос об установлении в проектах муниципальных контрактов максимальных сроков оплаты выполненных работ, обеспечивающих их исполнение, а также более долгий срок действия банковской гарантии, обеспечивающий возможность ее использования.</w:t>
      </w:r>
    </w:p>
    <w:p w:rsidR="006D0F06" w:rsidRDefault="009C183A" w:rsidP="00963366">
      <w:pPr>
        <w:pStyle w:val="af4"/>
        <w:tabs>
          <w:tab w:val="left" w:pos="324"/>
        </w:tabs>
        <w:ind w:left="40" w:right="-57"/>
        <w:jc w:val="both"/>
        <w:rPr>
          <w:sz w:val="28"/>
          <w:szCs w:val="28"/>
        </w:rPr>
      </w:pPr>
      <w:r w:rsidRPr="003036D1">
        <w:rPr>
          <w:rFonts w:ascii="Times" w:eastAsia="Arial Unicode MS" w:hAnsi="Times" w:cs="Arial Unicode MS"/>
          <w:sz w:val="28"/>
          <w:bdr w:val="nil"/>
        </w:rPr>
        <w:t>- Управлению ЖКХ: обеспечить взыскание в доходную часть муниципального бюджета пени за нарушение контрагентами условий муниципальных контрактов в общей сумме 343,3 тыс. рублей</w:t>
      </w:r>
      <w:r w:rsidR="00963366">
        <w:rPr>
          <w:rFonts w:ascii="Times" w:eastAsia="Arial Unicode MS" w:hAnsi="Times" w:cs="Arial Unicode MS"/>
          <w:sz w:val="28"/>
          <w:bdr w:val="nil"/>
        </w:rPr>
        <w:t xml:space="preserve">; </w:t>
      </w:r>
      <w:r w:rsidRPr="003036D1">
        <w:rPr>
          <w:rFonts w:ascii="Times" w:eastAsia="Arial Unicode MS" w:hAnsi="Times" w:cs="Arial Unicode MS"/>
          <w:sz w:val="28"/>
          <w:bdr w:val="nil"/>
        </w:rPr>
        <w:t>осуществить передачу расходов, формирующих капитальные вложения по объекту "ул. Коммунистическая (от ул. Советская до ул. Кирова) в г. Сыктывкаре", балансодержателю имущества МКП "Дорожное хозяйство".</w:t>
      </w:r>
    </w:p>
    <w:p w:rsidR="00862694" w:rsidRPr="00141746" w:rsidRDefault="00141746" w:rsidP="00A203EE">
      <w:pPr>
        <w:pStyle w:val="af4"/>
        <w:tabs>
          <w:tab w:val="left" w:pos="324"/>
        </w:tabs>
        <w:spacing w:before="120"/>
        <w:ind w:left="40" w:right="-57" w:firstLine="669"/>
        <w:jc w:val="both"/>
        <w:rPr>
          <w:b/>
          <w:sz w:val="28"/>
          <w:szCs w:val="28"/>
        </w:rPr>
      </w:pPr>
      <w:r>
        <w:rPr>
          <w:b/>
          <w:sz w:val="28"/>
          <w:szCs w:val="28"/>
        </w:rPr>
        <w:t>08</w:t>
      </w:r>
      <w:r w:rsidR="00A203EE" w:rsidRPr="00141746">
        <w:rPr>
          <w:b/>
          <w:sz w:val="28"/>
          <w:szCs w:val="28"/>
        </w:rPr>
        <w:t>.04.2021</w:t>
      </w:r>
    </w:p>
    <w:p w:rsidR="00862694" w:rsidRDefault="00862694" w:rsidP="00A203EE">
      <w:pPr>
        <w:ind w:firstLine="709"/>
        <w:jc w:val="both"/>
        <w:rPr>
          <w:sz w:val="28"/>
          <w:szCs w:val="28"/>
        </w:rPr>
      </w:pPr>
      <w:r>
        <w:rPr>
          <w:rFonts w:ascii="Times" w:eastAsia="Arial Unicode MS" w:hAnsi="Times" w:cs="Arial Unicode MS"/>
          <w:sz w:val="28"/>
          <w:bdr w:val="none" w:sz="0" w:space="0" w:color="auto" w:frame="1"/>
        </w:rPr>
        <w:t xml:space="preserve">Управлением Федеральной антимонопольной службы по Республике Коми рассмотрены материалы, направленные </w:t>
      </w:r>
      <w:r>
        <w:rPr>
          <w:sz w:val="28"/>
          <w:szCs w:val="28"/>
        </w:rPr>
        <w:t xml:space="preserve">по итогам проведенного аудита: </w:t>
      </w:r>
    </w:p>
    <w:p w:rsidR="00862694" w:rsidRDefault="00980CE3" w:rsidP="00980CE3">
      <w:pPr>
        <w:pStyle w:val="af4"/>
        <w:tabs>
          <w:tab w:val="left" w:pos="324"/>
        </w:tabs>
        <w:ind w:left="40" w:right="-57"/>
        <w:jc w:val="both"/>
        <w:rPr>
          <w:rFonts w:eastAsia="Calibri"/>
          <w:sz w:val="28"/>
          <w:lang w:eastAsia="en-US"/>
        </w:rPr>
      </w:pPr>
      <w:r>
        <w:rPr>
          <w:sz w:val="28"/>
          <w:szCs w:val="28"/>
        </w:rPr>
        <w:t>- в</w:t>
      </w:r>
      <w:r w:rsidR="00862694">
        <w:rPr>
          <w:sz w:val="28"/>
          <w:szCs w:val="28"/>
        </w:rPr>
        <w:t xml:space="preserve"> части</w:t>
      </w:r>
      <w:r w:rsidR="00862694">
        <w:rPr>
          <w:rFonts w:ascii="Times" w:eastAsia="Arial Unicode MS" w:hAnsi="Times" w:cs="Arial Unicode MS"/>
          <w:sz w:val="28"/>
          <w:bdr w:val="none" w:sz="0" w:space="0" w:color="auto" w:frame="1"/>
        </w:rPr>
        <w:t xml:space="preserve"> нарушения Управлением ЖКХ частей 2, 3 статьи 103 Федерального закона № 44-ФЗ (нарушение сроков размещения в единой информационной системе информации об изменении и исполнении муниципальных контрактов), принято решение о привлечении должностн</w:t>
      </w:r>
      <w:r>
        <w:rPr>
          <w:rFonts w:ascii="Times" w:eastAsia="Arial Unicode MS" w:hAnsi="Times" w:cs="Arial Unicode MS"/>
          <w:sz w:val="28"/>
          <w:bdr w:val="none" w:sz="0" w:space="0" w:color="auto" w:frame="1"/>
        </w:rPr>
        <w:t>ого</w:t>
      </w:r>
      <w:r w:rsidR="00862694">
        <w:rPr>
          <w:rFonts w:ascii="Times" w:eastAsia="Arial Unicode MS" w:hAnsi="Times" w:cs="Arial Unicode MS"/>
          <w:sz w:val="28"/>
          <w:bdr w:val="none" w:sz="0" w:space="0" w:color="auto" w:frame="1"/>
        </w:rPr>
        <w:t xml:space="preserve"> лиц</w:t>
      </w:r>
      <w:r>
        <w:rPr>
          <w:rFonts w:ascii="Times" w:eastAsia="Arial Unicode MS" w:hAnsi="Times" w:cs="Arial Unicode MS"/>
          <w:sz w:val="28"/>
          <w:bdr w:val="none" w:sz="0" w:space="0" w:color="auto" w:frame="1"/>
        </w:rPr>
        <w:t>а</w:t>
      </w:r>
      <w:r w:rsidR="00862694">
        <w:rPr>
          <w:rFonts w:ascii="Times" w:eastAsia="Arial Unicode MS" w:hAnsi="Times" w:cs="Arial Unicode MS"/>
          <w:sz w:val="28"/>
          <w:bdr w:val="none" w:sz="0" w:space="0" w:color="auto" w:frame="1"/>
        </w:rPr>
        <w:t xml:space="preserve"> к административной ответственности</w:t>
      </w:r>
      <w:r w:rsidR="00862694">
        <w:rPr>
          <w:rFonts w:eastAsia="Calibri"/>
          <w:sz w:val="28"/>
          <w:lang w:eastAsia="en-US"/>
        </w:rPr>
        <w:t>.</w:t>
      </w:r>
    </w:p>
    <w:p w:rsidR="00862694" w:rsidRPr="00980CE3" w:rsidRDefault="00980CE3" w:rsidP="00980CE3">
      <w:pPr>
        <w:pStyle w:val="af4"/>
        <w:tabs>
          <w:tab w:val="left" w:pos="324"/>
        </w:tabs>
        <w:ind w:left="40" w:right="-57"/>
        <w:jc w:val="both"/>
        <w:rPr>
          <w:rFonts w:eastAsia="Calibri"/>
          <w:sz w:val="28"/>
          <w:lang w:eastAsia="en-US"/>
        </w:rPr>
      </w:pPr>
      <w:r>
        <w:rPr>
          <w:rFonts w:ascii="Times" w:eastAsia="Arial Unicode MS" w:hAnsi="Times" w:cs="Arial Unicode MS"/>
          <w:sz w:val="28"/>
          <w:bdr w:val="none" w:sz="0" w:space="0" w:color="auto" w:frame="1"/>
        </w:rPr>
        <w:t>- в</w:t>
      </w:r>
      <w:r w:rsidR="00862694" w:rsidRPr="00980CE3">
        <w:rPr>
          <w:rFonts w:ascii="Times" w:eastAsia="Arial Unicode MS" w:hAnsi="Times" w:cs="Arial Unicode MS"/>
          <w:sz w:val="28"/>
          <w:bdr w:val="none" w:sz="0" w:space="0" w:color="auto" w:frame="1"/>
        </w:rPr>
        <w:t xml:space="preserve"> части нарушения Управлением ЖКХ требований </w:t>
      </w:r>
      <w:r w:rsidR="00862694" w:rsidRPr="00980CE3">
        <w:rPr>
          <w:sz w:val="28"/>
        </w:rPr>
        <w:t xml:space="preserve">части 13.1 статьи 34 </w:t>
      </w:r>
      <w:r w:rsidR="00862694" w:rsidRPr="00980CE3">
        <w:rPr>
          <w:sz w:val="28"/>
          <w:szCs w:val="28"/>
        </w:rPr>
        <w:t>Федерального закона № 44-ФЗ</w:t>
      </w:r>
      <w:r w:rsidR="00862694" w:rsidRPr="00980CE3">
        <w:rPr>
          <w:rFonts w:ascii="Times" w:eastAsia="Arial Unicode MS" w:hAnsi="Times" w:cs="Arial Unicode MS"/>
          <w:sz w:val="28"/>
          <w:bdr w:val="none" w:sz="0" w:space="0" w:color="auto" w:frame="1"/>
        </w:rPr>
        <w:t xml:space="preserve"> (нарушение сроков оплаты выполненных работ)</w:t>
      </w:r>
      <w:r w:rsidR="00862694" w:rsidRPr="00980CE3">
        <w:rPr>
          <w:rFonts w:eastAsia="Calibri"/>
          <w:sz w:val="28"/>
          <w:lang w:eastAsia="en-US"/>
        </w:rPr>
        <w:t xml:space="preserve">, </w:t>
      </w:r>
      <w:r w:rsidR="00A203EE" w:rsidRPr="00980CE3">
        <w:rPr>
          <w:rFonts w:ascii="Times" w:eastAsia="Arial Unicode MS" w:hAnsi="Times" w:cs="Arial Unicode MS"/>
          <w:sz w:val="28"/>
          <w:bdr w:val="none" w:sz="0" w:space="0" w:color="auto" w:frame="1"/>
        </w:rPr>
        <w:t xml:space="preserve">Управлением Федеральной антимонопольной службы по Республике Коми </w:t>
      </w:r>
      <w:r w:rsidR="00A203EE" w:rsidRPr="00980CE3">
        <w:rPr>
          <w:rFonts w:eastAsia="Calibri"/>
          <w:sz w:val="28"/>
          <w:lang w:eastAsia="en-US"/>
        </w:rPr>
        <w:t>указано, что нарушений срока оплаты выполненных работ в дейст</w:t>
      </w:r>
      <w:r w:rsidRPr="00980CE3">
        <w:rPr>
          <w:rFonts w:eastAsia="Calibri"/>
          <w:sz w:val="28"/>
          <w:lang w:eastAsia="en-US"/>
        </w:rPr>
        <w:t>виях заказчика не усматривается;</w:t>
      </w:r>
      <w:r w:rsidR="00A203EE" w:rsidRPr="00980CE3">
        <w:rPr>
          <w:rFonts w:eastAsia="Calibri"/>
          <w:sz w:val="28"/>
          <w:lang w:eastAsia="en-US"/>
        </w:rPr>
        <w:t xml:space="preserve"> неустранимые сомнения в виновности лица, привлекаемого к </w:t>
      </w:r>
      <w:r w:rsidRPr="00980CE3">
        <w:rPr>
          <w:rFonts w:eastAsia="Calibri"/>
          <w:sz w:val="28"/>
          <w:lang w:eastAsia="en-US"/>
        </w:rPr>
        <w:t xml:space="preserve">административной ответственности, толкуются в пользу этого лица; </w:t>
      </w:r>
      <w:r w:rsidR="00862694" w:rsidRPr="00980CE3">
        <w:rPr>
          <w:rFonts w:eastAsia="Calibri"/>
          <w:sz w:val="28"/>
          <w:lang w:eastAsia="en-US"/>
        </w:rPr>
        <w:t>принято решение об отказе в возбуждении дела об а</w:t>
      </w:r>
      <w:r>
        <w:rPr>
          <w:rFonts w:eastAsia="Calibri"/>
          <w:sz w:val="28"/>
          <w:lang w:eastAsia="en-US"/>
        </w:rPr>
        <w:t>дминистративном правонарушении</w:t>
      </w:r>
      <w:r w:rsidR="00862694" w:rsidRPr="00980CE3">
        <w:rPr>
          <w:rFonts w:eastAsia="Calibri"/>
          <w:sz w:val="28"/>
          <w:lang w:eastAsia="en-US"/>
        </w:rPr>
        <w:t>.</w:t>
      </w:r>
    </w:p>
    <w:p w:rsidR="00862694" w:rsidRPr="003036D1" w:rsidRDefault="00862694" w:rsidP="00963366">
      <w:pPr>
        <w:pStyle w:val="af4"/>
        <w:tabs>
          <w:tab w:val="left" w:pos="324"/>
        </w:tabs>
        <w:ind w:left="40" w:right="-57"/>
        <w:jc w:val="both"/>
        <w:rPr>
          <w:sz w:val="28"/>
          <w:szCs w:val="28"/>
        </w:rPr>
      </w:pPr>
    </w:p>
    <w:sectPr w:rsidR="00862694" w:rsidRPr="003036D1" w:rsidSect="00862694">
      <w:headerReference w:type="even" r:id="rId8"/>
      <w:headerReference w:type="default" r:id="rId9"/>
      <w:footerReference w:type="default" r:id="rId10"/>
      <w:footerReference w:type="first" r:id="rId11"/>
      <w:pgSz w:w="11906" w:h="16838"/>
      <w:pgMar w:top="568"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99" w:rsidRDefault="00DE7199">
      <w:r>
        <w:separator/>
      </w:r>
    </w:p>
  </w:endnote>
  <w:endnote w:type="continuationSeparator" w:id="0">
    <w:p w:rsidR="00DE7199" w:rsidRDefault="00DE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99" w:rsidRDefault="00DE7199">
      <w:r>
        <w:separator/>
      </w:r>
    </w:p>
  </w:footnote>
  <w:footnote w:type="continuationSeparator" w:id="0">
    <w:p w:rsidR="00DE7199" w:rsidRDefault="00DE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1746">
      <w:rPr>
        <w:rStyle w:val="a6"/>
        <w:noProof/>
      </w:rPr>
      <w:t>4</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E32308"/>
    <w:multiLevelType w:val="hybridMultilevel"/>
    <w:tmpl w:val="97AAC64C"/>
    <w:lvl w:ilvl="0" w:tplc="69740128">
      <w:start w:val="1"/>
      <w:numFmt w:val="decimal"/>
      <w:lvlText w:val="%1."/>
      <w:lvlJc w:val="left"/>
      <w:pPr>
        <w:ind w:left="303" w:hanging="360"/>
      </w:pPr>
      <w:rPr>
        <w:rFonts w:ascii="Times" w:eastAsia="Arial Unicode MS" w:hAnsi="Times" w:cs="Arial Unicode M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2"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21"/>
  </w:num>
  <w:num w:numId="5">
    <w:abstractNumId w:val="18"/>
  </w:num>
  <w:num w:numId="6">
    <w:abstractNumId w:val="23"/>
  </w:num>
  <w:num w:numId="7">
    <w:abstractNumId w:val="13"/>
  </w:num>
  <w:num w:numId="8">
    <w:abstractNumId w:val="0"/>
  </w:num>
  <w:num w:numId="9">
    <w:abstractNumId w:val="12"/>
  </w:num>
  <w:num w:numId="10">
    <w:abstractNumId w:val="19"/>
  </w:num>
  <w:num w:numId="11">
    <w:abstractNumId w:val="5"/>
  </w:num>
  <w:num w:numId="12">
    <w:abstractNumId w:val="6"/>
  </w:num>
  <w:num w:numId="13">
    <w:abstractNumId w:val="2"/>
  </w:num>
  <w:num w:numId="14">
    <w:abstractNumId w:val="4"/>
  </w:num>
  <w:num w:numId="15">
    <w:abstractNumId w:val="11"/>
  </w:num>
  <w:num w:numId="16">
    <w:abstractNumId w:val="14"/>
  </w:num>
  <w:num w:numId="17">
    <w:abstractNumId w:val="8"/>
  </w:num>
  <w:num w:numId="18">
    <w:abstractNumId w:val="9"/>
  </w:num>
  <w:num w:numId="19">
    <w:abstractNumId w:val="10"/>
  </w:num>
  <w:num w:numId="20">
    <w:abstractNumId w:val="16"/>
  </w:num>
  <w:num w:numId="21">
    <w:abstractNumId w:val="22"/>
  </w:num>
  <w:num w:numId="22">
    <w:abstractNumId w:val="20"/>
  </w:num>
  <w:num w:numId="23">
    <w:abstractNumId w:val="1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746"/>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694"/>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0CE3"/>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3EE"/>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199"/>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5535592">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9BA-50D1-463F-86AA-837A7CEF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4</cp:revision>
  <cp:lastPrinted>2021-04-19T07:25:00Z</cp:lastPrinted>
  <dcterms:created xsi:type="dcterms:W3CDTF">2021-04-19T07:14:00Z</dcterms:created>
  <dcterms:modified xsi:type="dcterms:W3CDTF">2021-04-19T07:29:00Z</dcterms:modified>
</cp:coreProperties>
</file>