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DD" w:rsidRPr="009333DD" w:rsidRDefault="009333DD" w:rsidP="008038E7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DD">
        <w:rPr>
          <w:rFonts w:ascii="Times New Roman" w:hAnsi="Times New Roman" w:cs="Times New Roman"/>
          <w:b/>
          <w:sz w:val="24"/>
          <w:szCs w:val="24"/>
        </w:rPr>
        <w:t>Д</w:t>
      </w:r>
      <w:r w:rsidR="00D94C95" w:rsidRPr="009333DD">
        <w:rPr>
          <w:rFonts w:ascii="Times New Roman" w:hAnsi="Times New Roman" w:cs="Times New Roman"/>
          <w:b/>
          <w:sz w:val="24"/>
          <w:szCs w:val="24"/>
        </w:rPr>
        <w:t>оклад</w:t>
      </w:r>
    </w:p>
    <w:p w:rsidR="000D390D" w:rsidRPr="009333DD" w:rsidRDefault="009333DD" w:rsidP="008038E7">
      <w:pPr>
        <w:pStyle w:val="ConsPlusNormal"/>
        <w:ind w:right="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33DD">
        <w:rPr>
          <w:rFonts w:ascii="Times New Roman" w:hAnsi="Times New Roman" w:cs="Times New Roman"/>
          <w:sz w:val="24"/>
          <w:szCs w:val="24"/>
        </w:rPr>
        <w:t>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2020 год</w:t>
      </w:r>
      <w:r w:rsidR="00D94C95" w:rsidRPr="0093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DD" w:rsidRDefault="009333DD" w:rsidP="008038E7">
      <w:pPr>
        <w:pStyle w:val="ConsPlusNormal"/>
        <w:ind w:left="72" w:right="7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4C95" w:rsidRPr="009333DD" w:rsidRDefault="00D94C95" w:rsidP="008038E7">
      <w:pPr>
        <w:pStyle w:val="ConsPlusNormal"/>
        <w:ind w:left="72" w:right="7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33DD">
        <w:rPr>
          <w:rFonts w:ascii="Times New Roman" w:hAnsi="Times New Roman" w:cs="Times New Roman"/>
          <w:sz w:val="24"/>
          <w:szCs w:val="24"/>
        </w:rPr>
        <w:t xml:space="preserve">«Показатели </w:t>
      </w:r>
      <w:proofErr w:type="gramStart"/>
      <w:r w:rsidRPr="009333DD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</w:t>
      </w:r>
      <w:r w:rsidR="00810E7C" w:rsidRPr="009333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333DD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9333D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B338D5" w:rsidRPr="009333DD">
        <w:rPr>
          <w:rFonts w:ascii="Times New Roman" w:hAnsi="Times New Roman" w:cs="Times New Roman"/>
          <w:sz w:val="24"/>
          <w:szCs w:val="24"/>
        </w:rPr>
        <w:t>«Сыктывкар»</w:t>
      </w:r>
      <w:r w:rsidR="00810E7C" w:rsidRPr="009333DD">
        <w:rPr>
          <w:rFonts w:ascii="Times New Roman" w:hAnsi="Times New Roman" w:cs="Times New Roman"/>
          <w:sz w:val="24"/>
          <w:szCs w:val="24"/>
        </w:rPr>
        <w:t xml:space="preserve"> </w:t>
      </w:r>
      <w:r w:rsidR="00657F6D" w:rsidRPr="009333DD">
        <w:rPr>
          <w:rFonts w:ascii="Times New Roman" w:hAnsi="Times New Roman" w:cs="Times New Roman"/>
          <w:sz w:val="24"/>
          <w:szCs w:val="24"/>
        </w:rPr>
        <w:t>за 20</w:t>
      </w:r>
      <w:r w:rsidR="003B0624" w:rsidRPr="009333DD">
        <w:rPr>
          <w:rFonts w:ascii="Times New Roman" w:hAnsi="Times New Roman" w:cs="Times New Roman"/>
          <w:sz w:val="24"/>
          <w:szCs w:val="24"/>
        </w:rPr>
        <w:t>20</w:t>
      </w:r>
      <w:r w:rsidR="00657F6D" w:rsidRPr="009333DD">
        <w:rPr>
          <w:rFonts w:ascii="Times New Roman" w:hAnsi="Times New Roman" w:cs="Times New Roman"/>
          <w:sz w:val="24"/>
          <w:szCs w:val="24"/>
        </w:rPr>
        <w:t xml:space="preserve"> год и их планируемых значений на 3-летний период»</w:t>
      </w:r>
    </w:p>
    <w:p w:rsidR="00657F6D" w:rsidRPr="00767D63" w:rsidRDefault="00657F6D" w:rsidP="008038E7">
      <w:pPr>
        <w:pStyle w:val="ConsPlusNormal"/>
        <w:ind w:left="72"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95" w:rsidRPr="00767D63" w:rsidRDefault="00D94C95" w:rsidP="008038E7">
      <w:pPr>
        <w:ind w:firstLine="567"/>
        <w:jc w:val="both"/>
      </w:pPr>
      <w:proofErr w:type="gramStart"/>
      <w:r w:rsidRPr="00767D63">
        <w:t xml:space="preserve">Ежегодный доклад главы муниципального образования городского округа </w:t>
      </w:r>
      <w:r w:rsidR="00B338D5" w:rsidRPr="00767D63">
        <w:t>«Сыктывкар»</w:t>
      </w:r>
      <w:r w:rsidRPr="00767D63">
        <w:t xml:space="preserve"> </w:t>
      </w:r>
      <w:r w:rsidR="00E56265" w:rsidRPr="00767D63">
        <w:t xml:space="preserve"> - руководителя администрации </w:t>
      </w:r>
      <w:r w:rsidRPr="00767D63">
        <w:t>о достигнутых значениях показателей для оценки эффективности деятельности органов местного самоупра</w:t>
      </w:r>
      <w:r w:rsidR="003359DA" w:rsidRPr="00767D63">
        <w:t>вления городского округа за 20</w:t>
      </w:r>
      <w:r w:rsidR="003B0624" w:rsidRPr="00767D63">
        <w:t>20</w:t>
      </w:r>
      <w:r w:rsidRPr="00767D63">
        <w:t xml:space="preserve"> год и их планируемых значениях на 3-летний период (далее </w:t>
      </w:r>
      <w:r w:rsidR="00B034C5" w:rsidRPr="00767D63">
        <w:t>–</w:t>
      </w:r>
      <w:r w:rsidRPr="00767D63">
        <w:t xml:space="preserve"> Доклад) подготовлен в целях реализации положений Федерального </w:t>
      </w:r>
      <w:r w:rsidR="00295C99" w:rsidRPr="00767D63">
        <w:t>з</w:t>
      </w:r>
      <w:r w:rsidRPr="00767D63">
        <w:t>акона от 06.10.2003 №</w:t>
      </w:r>
      <w:r w:rsidR="003B0624" w:rsidRPr="00767D63">
        <w:t xml:space="preserve"> </w:t>
      </w:r>
      <w:r w:rsidRPr="00767D63">
        <w:t>131-ФЗ «Об общих принципах организации местного самоуправления в РФ», Указ</w:t>
      </w:r>
      <w:r w:rsidR="0095304C" w:rsidRPr="00767D63">
        <w:t>а Президента РФ от 28.04.2008 №</w:t>
      </w:r>
      <w:r w:rsidR="003B0624" w:rsidRPr="00767D63">
        <w:t xml:space="preserve"> </w:t>
      </w:r>
      <w:r w:rsidRPr="00767D63">
        <w:t>607 «Об</w:t>
      </w:r>
      <w:proofErr w:type="gramEnd"/>
      <w:r w:rsidRPr="00767D63">
        <w:t xml:space="preserve"> оценк</w:t>
      </w:r>
      <w:r w:rsidR="00295C99" w:rsidRPr="00767D63">
        <w:t>е</w:t>
      </w:r>
      <w:r w:rsidRPr="00767D63">
        <w:t xml:space="preserve"> </w:t>
      </w:r>
      <w:proofErr w:type="gramStart"/>
      <w:r w:rsidRPr="00767D63">
        <w:t>эффективности деятельности органов местного самоуправления городских округов</w:t>
      </w:r>
      <w:proofErr w:type="gramEnd"/>
      <w:r w:rsidRPr="00767D63">
        <w:t xml:space="preserve"> и муниципальных районов»</w:t>
      </w:r>
      <w:r w:rsidR="003359DA" w:rsidRPr="00767D63">
        <w:t>.</w:t>
      </w:r>
    </w:p>
    <w:p w:rsidR="00D94C95" w:rsidRPr="00767D63" w:rsidRDefault="00D94C95" w:rsidP="008038E7">
      <w:pPr>
        <w:autoSpaceDE w:val="0"/>
        <w:autoSpaceDN w:val="0"/>
        <w:adjustRightInd w:val="0"/>
        <w:ind w:firstLine="567"/>
        <w:jc w:val="both"/>
      </w:pPr>
      <w:proofErr w:type="gramStart"/>
      <w:r w:rsidRPr="00767D63">
        <w:t xml:space="preserve">Доклад подготовлен в соответствии с </w:t>
      </w:r>
      <w:r w:rsidR="00B034C5" w:rsidRPr="00767D63">
        <w:t>постановлением</w:t>
      </w:r>
      <w:r w:rsidRPr="00767D63">
        <w:t xml:space="preserve"> Правительства РФ от </w:t>
      </w:r>
      <w:r w:rsidR="00B034C5" w:rsidRPr="00767D63">
        <w:t>17</w:t>
      </w:r>
      <w:r w:rsidRPr="00767D63">
        <w:t>.</w:t>
      </w:r>
      <w:r w:rsidR="00B034C5" w:rsidRPr="00767D63">
        <w:t>12.2012</w:t>
      </w:r>
      <w:r w:rsidRPr="00767D63">
        <w:t xml:space="preserve"> №</w:t>
      </w:r>
      <w:r w:rsidR="003B0624" w:rsidRPr="00767D63">
        <w:t xml:space="preserve"> </w:t>
      </w:r>
      <w:r w:rsidRPr="00767D63">
        <w:t>13</w:t>
      </w:r>
      <w:r w:rsidR="00B034C5" w:rsidRPr="00767D63">
        <w:t>17</w:t>
      </w:r>
      <w:r w:rsidRPr="00767D63">
        <w:t xml:space="preserve">«О </w:t>
      </w:r>
      <w:r w:rsidR="00B034C5" w:rsidRPr="00767D63">
        <w:t>мерах по реализации</w:t>
      </w:r>
      <w:r w:rsidRPr="00767D63">
        <w:t xml:space="preserve"> Указа Президента РФ от 28.04.2008 №</w:t>
      </w:r>
      <w:r w:rsidR="003B0624" w:rsidRPr="00767D63">
        <w:t xml:space="preserve"> </w:t>
      </w:r>
      <w:r w:rsidRPr="00767D63">
        <w:t xml:space="preserve">607 </w:t>
      </w:r>
      <w:r w:rsidR="006A1AA0" w:rsidRPr="00767D63">
        <w:t>«</w:t>
      </w:r>
      <w:r w:rsidRPr="00767D63">
        <w:t>Об оценке эффективности деятельности органов местного самоуправления городских округов и муниципаль</w:t>
      </w:r>
      <w:r w:rsidR="00176A87" w:rsidRPr="00767D63">
        <w:t>ных районов»</w:t>
      </w:r>
      <w:r w:rsidR="00D77BCF" w:rsidRPr="00767D63">
        <w:t xml:space="preserve"> и подпункта «и» пункта 2 Указа Президента РФ от 07.05.2012 №</w:t>
      </w:r>
      <w:r w:rsidR="003B0624" w:rsidRPr="00767D63">
        <w:t xml:space="preserve"> </w:t>
      </w:r>
      <w:r w:rsidR="00D77BCF" w:rsidRPr="00767D63">
        <w:t>601 «Об основных направлениях совершенствования системы государственного управления»</w:t>
      </w:r>
      <w:r w:rsidR="00176A87" w:rsidRPr="00767D63">
        <w:t xml:space="preserve">, </w:t>
      </w:r>
      <w:r w:rsidRPr="00767D63">
        <w:t xml:space="preserve">распоряжением Правительства РК от </w:t>
      </w:r>
      <w:r w:rsidR="00602CE4" w:rsidRPr="00767D63">
        <w:t>17</w:t>
      </w:r>
      <w:r w:rsidRPr="00767D63">
        <w:t>.</w:t>
      </w:r>
      <w:r w:rsidR="00602CE4" w:rsidRPr="00767D63">
        <w:t>04</w:t>
      </w:r>
      <w:r w:rsidRPr="00767D63">
        <w:t>.2009 №</w:t>
      </w:r>
      <w:r w:rsidR="003B0624" w:rsidRPr="00767D63">
        <w:t xml:space="preserve"> </w:t>
      </w:r>
      <w:r w:rsidRPr="00767D63">
        <w:t>138-р «О структуре текстовой</w:t>
      </w:r>
      <w:proofErr w:type="gramEnd"/>
      <w:r w:rsidRPr="00767D63">
        <w:t xml:space="preserve"> части типовой формы доклада глав администраций городских округов и муниципальных районов РК о достигнутых значениях показателей для оценки </w:t>
      </w:r>
      <w:proofErr w:type="gramStart"/>
      <w:r w:rsidRPr="00767D63">
        <w:t>эффективности деятельности органов местного самоуправления городских округов</w:t>
      </w:r>
      <w:proofErr w:type="gramEnd"/>
      <w:r w:rsidRPr="00767D63">
        <w:t xml:space="preserve"> и муниципальных районов за отчетный год и их планируемых значениях на 3-летний период</w:t>
      </w:r>
      <w:r w:rsidR="003B0624" w:rsidRPr="00767D63">
        <w:t>»</w:t>
      </w:r>
      <w:r w:rsidRPr="00767D63">
        <w:t>.</w:t>
      </w:r>
    </w:p>
    <w:p w:rsidR="00D94C95" w:rsidRPr="00767D63" w:rsidRDefault="00D94C95" w:rsidP="008038E7">
      <w:pPr>
        <w:ind w:firstLine="567"/>
        <w:jc w:val="both"/>
      </w:pPr>
      <w:r w:rsidRPr="00767D63">
        <w:t xml:space="preserve">Доклад представляет собой анализ </w:t>
      </w:r>
      <w:proofErr w:type="gramStart"/>
      <w:r w:rsidRPr="00767D63">
        <w:t xml:space="preserve">показателей эффективности деятельности органов местного самоуправления </w:t>
      </w:r>
      <w:r w:rsidR="007160BA" w:rsidRPr="00767D63">
        <w:t>муниципального образования городского</w:t>
      </w:r>
      <w:proofErr w:type="gramEnd"/>
      <w:r w:rsidR="007160BA" w:rsidRPr="00767D63">
        <w:t xml:space="preserve"> округа «Сыктывкар» (далее </w:t>
      </w:r>
      <w:r w:rsidR="00B034C5" w:rsidRPr="00767D63">
        <w:t>–</w:t>
      </w:r>
      <w:r w:rsidR="007160BA" w:rsidRPr="00767D63">
        <w:t xml:space="preserve"> </w:t>
      </w:r>
      <w:r w:rsidRPr="00767D63">
        <w:t>МО Г</w:t>
      </w:r>
      <w:r w:rsidR="003359DA" w:rsidRPr="00767D63">
        <w:t xml:space="preserve">О </w:t>
      </w:r>
      <w:r w:rsidR="00B338D5" w:rsidRPr="00767D63">
        <w:t>«Сыктывкар»</w:t>
      </w:r>
      <w:r w:rsidR="007160BA" w:rsidRPr="00767D63">
        <w:t>)</w:t>
      </w:r>
      <w:r w:rsidR="003359DA" w:rsidRPr="00767D63">
        <w:t xml:space="preserve"> в динамике за 20</w:t>
      </w:r>
      <w:r w:rsidR="003B0624" w:rsidRPr="00767D63">
        <w:t>18</w:t>
      </w:r>
      <w:r w:rsidR="003359DA" w:rsidRPr="00767D63">
        <w:t>-20</w:t>
      </w:r>
      <w:r w:rsidR="003B0624" w:rsidRPr="00767D63">
        <w:t>20</w:t>
      </w:r>
      <w:r w:rsidRPr="00767D63">
        <w:t xml:space="preserve"> годы и их планируемых значени</w:t>
      </w:r>
      <w:r w:rsidR="00295C99" w:rsidRPr="00767D63">
        <w:t>й</w:t>
      </w:r>
      <w:r w:rsidRPr="00767D63">
        <w:t xml:space="preserve"> на 3-летний период.</w:t>
      </w:r>
    </w:p>
    <w:p w:rsidR="00D94C95" w:rsidRPr="00767D63" w:rsidRDefault="00D94C95" w:rsidP="008038E7">
      <w:pPr>
        <w:ind w:firstLine="567"/>
        <w:jc w:val="both"/>
      </w:pPr>
      <w:r w:rsidRPr="00767D63">
        <w:t xml:space="preserve">В качестве исходных данных использовались статистические данные, отчеты подразделений и подведомственных структур администрации МО ГО </w:t>
      </w:r>
      <w:r w:rsidR="00B338D5" w:rsidRPr="00767D63">
        <w:t>«Сыктывкар»</w:t>
      </w:r>
      <w:r w:rsidR="007160BA" w:rsidRPr="00767D63">
        <w:t>.</w:t>
      </w:r>
    </w:p>
    <w:p w:rsidR="00D94C95" w:rsidRPr="00767D63" w:rsidRDefault="00D94C95" w:rsidP="008038E7">
      <w:pPr>
        <w:tabs>
          <w:tab w:val="center" w:pos="7632"/>
        </w:tabs>
        <w:ind w:right="72"/>
        <w:jc w:val="both"/>
      </w:pPr>
    </w:p>
    <w:p w:rsidR="00D94C95" w:rsidRPr="00767D63" w:rsidRDefault="00602962" w:rsidP="008038E7">
      <w:pPr>
        <w:tabs>
          <w:tab w:val="center" w:pos="7632"/>
        </w:tabs>
        <w:ind w:right="74"/>
        <w:jc w:val="center"/>
        <w:outlineLvl w:val="0"/>
        <w:rPr>
          <w:b/>
        </w:rPr>
      </w:pPr>
      <w:r w:rsidRPr="00767D63">
        <w:rPr>
          <w:b/>
        </w:rPr>
        <w:t xml:space="preserve">1. </w:t>
      </w:r>
      <w:r w:rsidR="00D94C95" w:rsidRPr="00767D63">
        <w:rPr>
          <w:b/>
        </w:rPr>
        <w:t>Экономическое развитие</w:t>
      </w:r>
    </w:p>
    <w:p w:rsidR="004A340F" w:rsidRPr="00767D63" w:rsidRDefault="004A340F" w:rsidP="008038E7">
      <w:pPr>
        <w:tabs>
          <w:tab w:val="center" w:pos="7632"/>
        </w:tabs>
        <w:ind w:right="72"/>
        <w:jc w:val="center"/>
        <w:rPr>
          <w:b/>
        </w:rPr>
      </w:pPr>
    </w:p>
    <w:p w:rsidR="004A340F" w:rsidRPr="00767D63" w:rsidRDefault="004A340F" w:rsidP="008038E7">
      <w:pPr>
        <w:tabs>
          <w:tab w:val="center" w:pos="7632"/>
        </w:tabs>
        <w:ind w:firstLine="709"/>
        <w:jc w:val="both"/>
      </w:pPr>
      <w:r w:rsidRPr="00767D63">
        <w:t xml:space="preserve">МО ГО «Сыктывкар» расположено на Северо-Востоке Европейской части России в пределах </w:t>
      </w:r>
      <w:proofErr w:type="spellStart"/>
      <w:r w:rsidRPr="00767D63">
        <w:t>Мезенско</w:t>
      </w:r>
      <w:proofErr w:type="spellEnd"/>
      <w:r w:rsidRPr="00767D63">
        <w:t xml:space="preserve">-Вычегодской низменности. Географические координаты города определяются 61-40' северной широты и 50-51' восточной долготы. Минимальная высота над уровнем моря 75 метров, максимальная - 172 метра. Территория МО ГО «Сыктывкар» расположена в юго-западной части Республики Коми в бассейне рек </w:t>
      </w:r>
      <w:proofErr w:type="spellStart"/>
      <w:r w:rsidRPr="00767D63">
        <w:t>Сысола</w:t>
      </w:r>
      <w:proofErr w:type="spellEnd"/>
      <w:r w:rsidRPr="00767D63">
        <w:t xml:space="preserve"> и </w:t>
      </w:r>
      <w:proofErr w:type="spellStart"/>
      <w:r w:rsidRPr="00767D63">
        <w:t>Вычегда</w:t>
      </w:r>
      <w:proofErr w:type="spellEnd"/>
      <w:r w:rsidRPr="00767D63">
        <w:t>, граничит с муниципальными образованиями муниципальных районов «</w:t>
      </w:r>
      <w:proofErr w:type="spellStart"/>
      <w:r w:rsidRPr="00767D63">
        <w:t>Сыктывдинский</w:t>
      </w:r>
      <w:proofErr w:type="spellEnd"/>
      <w:r w:rsidRPr="00767D63">
        <w:t>» и «Корткеросский».</w:t>
      </w:r>
    </w:p>
    <w:p w:rsidR="004A340F" w:rsidRPr="00767D63" w:rsidRDefault="004A340F" w:rsidP="008038E7">
      <w:pPr>
        <w:tabs>
          <w:tab w:val="center" w:pos="7632"/>
        </w:tabs>
        <w:ind w:firstLine="709"/>
        <w:jc w:val="both"/>
      </w:pPr>
      <w:r w:rsidRPr="00767D63">
        <w:t xml:space="preserve">В состав единого муниципального образования городского округа на территории города Сыктывкар с подчиненной ему территорией входят: город республиканского значения Сыктывкар, поселки городского типа Верхняя </w:t>
      </w:r>
      <w:proofErr w:type="spellStart"/>
      <w:r w:rsidRPr="00767D63">
        <w:t>Максаковка</w:t>
      </w:r>
      <w:proofErr w:type="spellEnd"/>
      <w:r w:rsidRPr="00767D63">
        <w:t xml:space="preserve">, Краснозатонский, </w:t>
      </w:r>
      <w:proofErr w:type="spellStart"/>
      <w:r w:rsidRPr="00767D63">
        <w:t>Седкыркещ</w:t>
      </w:r>
      <w:proofErr w:type="spellEnd"/>
      <w:r w:rsidRPr="00767D63">
        <w:t xml:space="preserve">, поселки сельского типа Верхний </w:t>
      </w:r>
      <w:proofErr w:type="spellStart"/>
      <w:r w:rsidRPr="00767D63">
        <w:t>Мырты</w:t>
      </w:r>
      <w:proofErr w:type="spellEnd"/>
      <w:r w:rsidRPr="00767D63">
        <w:t xml:space="preserve">-Ю, </w:t>
      </w:r>
      <w:proofErr w:type="spellStart"/>
      <w:r w:rsidRPr="00767D63">
        <w:t>Выльтыдор</w:t>
      </w:r>
      <w:proofErr w:type="spellEnd"/>
      <w:r w:rsidRPr="00767D63">
        <w:t xml:space="preserve">, </w:t>
      </w:r>
      <w:proofErr w:type="spellStart"/>
      <w:r w:rsidRPr="00767D63">
        <w:t>Трехозерка</w:t>
      </w:r>
      <w:proofErr w:type="spellEnd"/>
      <w:r w:rsidRPr="00767D63">
        <w:t xml:space="preserve">. В целях наиболее эффективной организации муниципального образования городского округа «Сыктывкар» выделен </w:t>
      </w:r>
      <w:proofErr w:type="spellStart"/>
      <w:r w:rsidRPr="00767D63">
        <w:t>Эжвинский</w:t>
      </w:r>
      <w:proofErr w:type="spellEnd"/>
      <w:r w:rsidRPr="00767D63">
        <w:t xml:space="preserve"> район.</w:t>
      </w:r>
    </w:p>
    <w:p w:rsidR="004A340F" w:rsidRPr="00767D63" w:rsidRDefault="004A340F" w:rsidP="008038E7">
      <w:pPr>
        <w:tabs>
          <w:tab w:val="center" w:pos="7632"/>
        </w:tabs>
        <w:ind w:firstLine="709"/>
        <w:jc w:val="both"/>
      </w:pPr>
      <w:r w:rsidRPr="00767D63">
        <w:t>Согласно данных территориального органа Федеральной службы государственной статистики по Республике Коми (</w:t>
      </w:r>
      <w:proofErr w:type="spellStart"/>
      <w:r w:rsidRPr="00767D63">
        <w:t>Комистат</w:t>
      </w:r>
      <w:proofErr w:type="spellEnd"/>
      <w:r w:rsidRPr="00767D63">
        <w:t>) численность населения МО ГО «Сыктыв</w:t>
      </w:r>
      <w:r w:rsidR="000E2E61" w:rsidRPr="00767D63">
        <w:t>кар» по состоянию на 1 января 20</w:t>
      </w:r>
      <w:r w:rsidR="005D1326" w:rsidRPr="00767D63">
        <w:t>2</w:t>
      </w:r>
      <w:r w:rsidR="003B0624" w:rsidRPr="00767D63">
        <w:t>1</w:t>
      </w:r>
      <w:r w:rsidRPr="00767D63">
        <w:t xml:space="preserve"> года составила </w:t>
      </w:r>
      <w:r w:rsidR="005D1326" w:rsidRPr="00767D63">
        <w:t xml:space="preserve">259 </w:t>
      </w:r>
      <w:r w:rsidR="000C5CCF" w:rsidRPr="00767D63">
        <w:t>262</w:t>
      </w:r>
      <w:r w:rsidRPr="00767D63">
        <w:t xml:space="preserve"> человек</w:t>
      </w:r>
      <w:r w:rsidR="000C5CCF" w:rsidRPr="00767D63">
        <w:t>а</w:t>
      </w:r>
      <w:r w:rsidRPr="00767D63">
        <w:t xml:space="preserve">, что на </w:t>
      </w:r>
      <w:r w:rsidR="000C5CCF" w:rsidRPr="00767D63">
        <w:t>622</w:t>
      </w:r>
      <w:r w:rsidRPr="00767D63">
        <w:t xml:space="preserve"> человек</w:t>
      </w:r>
      <w:r w:rsidR="000C5CCF" w:rsidRPr="00767D63">
        <w:t>а</w:t>
      </w:r>
      <w:r w:rsidRPr="00767D63">
        <w:t xml:space="preserve"> меньше, чем годом ранее.</w:t>
      </w:r>
      <w:r w:rsidR="005D1326" w:rsidRPr="00767D63">
        <w:t xml:space="preserve"> </w:t>
      </w:r>
    </w:p>
    <w:p w:rsidR="00C9356E" w:rsidRPr="00767D63" w:rsidRDefault="00C9356E" w:rsidP="008038E7">
      <w:pPr>
        <w:pStyle w:val="Style2"/>
        <w:widowControl/>
        <w:ind w:firstLine="567"/>
        <w:jc w:val="both"/>
        <w:rPr>
          <w:rStyle w:val="FontStyle17"/>
          <w:iCs/>
          <w:sz w:val="24"/>
          <w:szCs w:val="24"/>
        </w:rPr>
      </w:pPr>
      <w:r w:rsidRPr="00767D63">
        <w:rPr>
          <w:rStyle w:val="FontStyle17"/>
          <w:iCs/>
          <w:sz w:val="24"/>
          <w:szCs w:val="24"/>
        </w:rPr>
        <w:t xml:space="preserve">Одной из приоритетных задач социально-экономического развития МО ГО «Сыктывкар» является развитие предпринимательства. Малый и средний бизнес способствует созданию новых рабочих мест, насыщению потребительского рынка товарами и услугами, </w:t>
      </w:r>
      <w:r w:rsidRPr="00767D63">
        <w:rPr>
          <w:rStyle w:val="FontStyle17"/>
          <w:iCs/>
          <w:sz w:val="24"/>
          <w:szCs w:val="24"/>
        </w:rPr>
        <w:lastRenderedPageBreak/>
        <w:t>формированию конкурентной среды; обеспечивает экономическую самостоятельность населения города, стабильность налоговых поступлений.</w:t>
      </w:r>
    </w:p>
    <w:p w:rsidR="00C9356E" w:rsidRPr="00767D63" w:rsidRDefault="00C9356E" w:rsidP="008038E7">
      <w:pPr>
        <w:pStyle w:val="Style2"/>
        <w:widowControl/>
        <w:ind w:firstLine="567"/>
        <w:jc w:val="both"/>
        <w:rPr>
          <w:rStyle w:val="FontStyle17"/>
          <w:iCs/>
          <w:sz w:val="24"/>
          <w:szCs w:val="24"/>
        </w:rPr>
      </w:pPr>
      <w:r w:rsidRPr="00767D63">
        <w:rPr>
          <w:rStyle w:val="FontStyle17"/>
          <w:iCs/>
          <w:sz w:val="24"/>
          <w:szCs w:val="24"/>
        </w:rPr>
        <w:t>Сплошное наблюдение за деятельностью малого и среднего предпринимательства проводится 1 раз в 5 лет, очередное проведено в 2016 году. Согласно данных наблюдения:</w:t>
      </w:r>
    </w:p>
    <w:p w:rsidR="00C9356E" w:rsidRPr="00767D63" w:rsidRDefault="00C9356E" w:rsidP="008038E7">
      <w:pPr>
        <w:pStyle w:val="Style2"/>
        <w:widowControl/>
        <w:ind w:firstLine="567"/>
        <w:jc w:val="both"/>
        <w:rPr>
          <w:rStyle w:val="FontStyle17"/>
          <w:iCs/>
          <w:sz w:val="24"/>
          <w:szCs w:val="24"/>
        </w:rPr>
      </w:pPr>
      <w:r w:rsidRPr="00767D63">
        <w:rPr>
          <w:rStyle w:val="FontStyle17"/>
          <w:i/>
          <w:iCs/>
          <w:sz w:val="24"/>
          <w:szCs w:val="24"/>
        </w:rPr>
        <w:t>Число субъектов малого и среднего предпринимательства в расчете на 10 тыс. человек населения составило 462,4 единиц, что на 2,28% ниже уровня 2010 года</w:t>
      </w:r>
      <w:r w:rsidRPr="00767D63">
        <w:rPr>
          <w:rStyle w:val="FontStyle17"/>
          <w:iCs/>
          <w:sz w:val="24"/>
          <w:szCs w:val="24"/>
        </w:rPr>
        <w:t>.</w:t>
      </w:r>
    </w:p>
    <w:p w:rsidR="00C9356E" w:rsidRPr="00767D63" w:rsidRDefault="00C9356E" w:rsidP="008038E7">
      <w:pPr>
        <w:pStyle w:val="Style2"/>
        <w:widowControl/>
        <w:ind w:firstLine="567"/>
        <w:jc w:val="both"/>
        <w:rPr>
          <w:rStyle w:val="FontStyle17"/>
          <w:i/>
          <w:iCs/>
          <w:sz w:val="24"/>
          <w:szCs w:val="24"/>
        </w:rPr>
      </w:pPr>
      <w:r w:rsidRPr="00767D63">
        <w:rPr>
          <w:rStyle w:val="FontStyle17"/>
          <w:i/>
          <w:iCs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26%</w:t>
      </w:r>
      <w:r w:rsidR="00001BD9" w:rsidRPr="00767D63">
        <w:rPr>
          <w:rStyle w:val="FontStyle17"/>
          <w:i/>
          <w:iCs/>
          <w:sz w:val="24"/>
          <w:szCs w:val="24"/>
        </w:rPr>
        <w:t>, что на 4% выше уровня 2010 года.</w:t>
      </w:r>
      <w:r w:rsidRPr="00767D63">
        <w:rPr>
          <w:rStyle w:val="FontStyle17"/>
          <w:i/>
          <w:iCs/>
          <w:sz w:val="24"/>
          <w:szCs w:val="24"/>
        </w:rPr>
        <w:t xml:space="preserve"> </w:t>
      </w:r>
    </w:p>
    <w:p w:rsidR="00C9356E" w:rsidRPr="00767D63" w:rsidRDefault="00C9356E" w:rsidP="008038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</w:rPr>
      </w:pPr>
      <w:r w:rsidRPr="00767D63">
        <w:t>Малое и среднее предпринимательство в МО ГО «Сыктывкар» по данным Реестра субъектов малого и среднего предпринимательства (сайт ИФНС России) по сос</w:t>
      </w:r>
      <w:r w:rsidRPr="00767D63">
        <w:rPr>
          <w:highlight w:val="white"/>
        </w:rPr>
        <w:t xml:space="preserve">тоянию на </w:t>
      </w:r>
      <w:r w:rsidR="003B0624" w:rsidRPr="00767D63">
        <w:rPr>
          <w:highlight w:val="white"/>
        </w:rPr>
        <w:t>1</w:t>
      </w:r>
      <w:r w:rsidR="001B349A" w:rsidRPr="00767D63">
        <w:rPr>
          <w:highlight w:val="white"/>
        </w:rPr>
        <w:t xml:space="preserve"> </w:t>
      </w:r>
      <w:r w:rsidR="003B0624" w:rsidRPr="00767D63">
        <w:rPr>
          <w:highlight w:val="white"/>
        </w:rPr>
        <w:t>января 2021</w:t>
      </w:r>
      <w:r w:rsidRPr="00767D63">
        <w:rPr>
          <w:highlight w:val="white"/>
        </w:rPr>
        <w:t xml:space="preserve"> года представляют </w:t>
      </w:r>
      <w:r w:rsidR="003B0624" w:rsidRPr="00767D63">
        <w:rPr>
          <w:highlight w:val="white"/>
        </w:rPr>
        <w:t>10 522</w:t>
      </w:r>
      <w:r w:rsidRPr="00767D63">
        <w:rPr>
          <w:highlight w:val="white"/>
        </w:rPr>
        <w:t xml:space="preserve"> хозяйствующих субъект</w:t>
      </w:r>
      <w:r w:rsidR="003B0624" w:rsidRPr="00767D63">
        <w:rPr>
          <w:highlight w:val="white"/>
        </w:rPr>
        <w:t>а</w:t>
      </w:r>
      <w:r w:rsidRPr="00767D63">
        <w:rPr>
          <w:highlight w:val="white"/>
        </w:rPr>
        <w:t xml:space="preserve"> (40,</w:t>
      </w:r>
      <w:r w:rsidR="00CC7064" w:rsidRPr="00767D63">
        <w:rPr>
          <w:highlight w:val="white"/>
        </w:rPr>
        <w:t>7</w:t>
      </w:r>
      <w:r w:rsidRPr="00767D63">
        <w:rPr>
          <w:highlight w:val="white"/>
        </w:rPr>
        <w:t xml:space="preserve">% по Республике Коми), из них: </w:t>
      </w:r>
    </w:p>
    <w:p w:rsidR="00C9356E" w:rsidRPr="00767D63" w:rsidRDefault="003B0624" w:rsidP="00495C98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4 859</w:t>
      </w:r>
      <w:r w:rsidR="00C9356E" w:rsidRPr="00767D63">
        <w:rPr>
          <w:rFonts w:ascii="Times New Roman" w:hAnsi="Times New Roman"/>
          <w:sz w:val="24"/>
          <w:szCs w:val="24"/>
        </w:rPr>
        <w:t xml:space="preserve"> - юридические лица (</w:t>
      </w:r>
      <w:r w:rsidRPr="00767D63">
        <w:rPr>
          <w:rFonts w:ascii="Times New Roman" w:hAnsi="Times New Roman"/>
          <w:sz w:val="24"/>
          <w:szCs w:val="24"/>
        </w:rPr>
        <w:t>21</w:t>
      </w:r>
      <w:r w:rsidR="00CC7064" w:rsidRPr="00767D63">
        <w:rPr>
          <w:rFonts w:ascii="Times New Roman" w:hAnsi="Times New Roman"/>
          <w:sz w:val="24"/>
          <w:szCs w:val="24"/>
        </w:rPr>
        <w:t xml:space="preserve"> </w:t>
      </w:r>
      <w:r w:rsidR="00C9356E" w:rsidRPr="00767D63">
        <w:rPr>
          <w:rFonts w:ascii="Times New Roman" w:hAnsi="Times New Roman"/>
          <w:sz w:val="24"/>
          <w:szCs w:val="24"/>
        </w:rPr>
        <w:t>средн</w:t>
      </w:r>
      <w:r w:rsidRPr="00767D63">
        <w:rPr>
          <w:rFonts w:ascii="Times New Roman" w:hAnsi="Times New Roman"/>
          <w:sz w:val="24"/>
          <w:szCs w:val="24"/>
        </w:rPr>
        <w:t>ее</w:t>
      </w:r>
      <w:r w:rsidR="00C9356E" w:rsidRPr="00767D63">
        <w:rPr>
          <w:rFonts w:ascii="Times New Roman" w:hAnsi="Times New Roman"/>
          <w:sz w:val="24"/>
          <w:szCs w:val="24"/>
        </w:rPr>
        <w:t xml:space="preserve"> предприяти</w:t>
      </w:r>
      <w:r w:rsidRPr="00767D63">
        <w:rPr>
          <w:rFonts w:ascii="Times New Roman" w:hAnsi="Times New Roman"/>
          <w:sz w:val="24"/>
          <w:szCs w:val="24"/>
        </w:rPr>
        <w:t>е</w:t>
      </w:r>
      <w:r w:rsidR="00C9356E" w:rsidRPr="00767D63">
        <w:rPr>
          <w:rFonts w:ascii="Times New Roman" w:hAnsi="Times New Roman"/>
          <w:sz w:val="24"/>
          <w:szCs w:val="24"/>
        </w:rPr>
        <w:t xml:space="preserve">, </w:t>
      </w:r>
      <w:r w:rsidRPr="00767D63">
        <w:rPr>
          <w:rFonts w:ascii="Times New Roman" w:hAnsi="Times New Roman"/>
          <w:sz w:val="24"/>
          <w:szCs w:val="24"/>
        </w:rPr>
        <w:t>376</w:t>
      </w:r>
      <w:r w:rsidR="00C9356E" w:rsidRPr="00767D63">
        <w:rPr>
          <w:rFonts w:ascii="Times New Roman" w:hAnsi="Times New Roman"/>
          <w:sz w:val="24"/>
          <w:szCs w:val="24"/>
        </w:rPr>
        <w:t xml:space="preserve"> малых предприятий, </w:t>
      </w:r>
      <w:r w:rsidR="00CC7064" w:rsidRPr="00767D63">
        <w:rPr>
          <w:rFonts w:ascii="Times New Roman" w:hAnsi="Times New Roman"/>
          <w:sz w:val="24"/>
          <w:szCs w:val="24"/>
        </w:rPr>
        <w:t>4</w:t>
      </w:r>
      <w:r w:rsidRPr="00767D63">
        <w:rPr>
          <w:rFonts w:ascii="Times New Roman" w:hAnsi="Times New Roman"/>
          <w:sz w:val="24"/>
          <w:szCs w:val="24"/>
        </w:rPr>
        <w:t xml:space="preserve"> 462</w:t>
      </w:r>
      <w:r w:rsidR="00C9356E" w:rsidRPr="00767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56E" w:rsidRPr="00767D63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="00C9356E" w:rsidRPr="00767D63">
        <w:rPr>
          <w:rFonts w:ascii="Times New Roman" w:hAnsi="Times New Roman"/>
          <w:sz w:val="24"/>
          <w:szCs w:val="24"/>
        </w:rPr>
        <w:t>);</w:t>
      </w:r>
    </w:p>
    <w:p w:rsidR="00C9356E" w:rsidRPr="00767D63" w:rsidRDefault="00CC7064" w:rsidP="00495C98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5</w:t>
      </w:r>
      <w:r w:rsidR="003B0624" w:rsidRPr="00767D63">
        <w:rPr>
          <w:rFonts w:ascii="Times New Roman" w:hAnsi="Times New Roman"/>
          <w:sz w:val="24"/>
          <w:szCs w:val="24"/>
        </w:rPr>
        <w:t xml:space="preserve"> 663</w:t>
      </w:r>
      <w:r w:rsidR="00C9356E" w:rsidRPr="00767D63">
        <w:rPr>
          <w:rFonts w:ascii="Times New Roman" w:hAnsi="Times New Roman"/>
          <w:sz w:val="24"/>
          <w:szCs w:val="24"/>
        </w:rPr>
        <w:t xml:space="preserve"> - индивидуальные предприниматели (</w:t>
      </w:r>
      <w:r w:rsidR="003B0624" w:rsidRPr="00767D63">
        <w:rPr>
          <w:rFonts w:ascii="Times New Roman" w:hAnsi="Times New Roman"/>
          <w:sz w:val="24"/>
          <w:szCs w:val="24"/>
        </w:rPr>
        <w:t>1 среднее предприятие, 62</w:t>
      </w:r>
      <w:r w:rsidR="00C9356E" w:rsidRPr="00767D63">
        <w:rPr>
          <w:rFonts w:ascii="Times New Roman" w:hAnsi="Times New Roman"/>
          <w:sz w:val="24"/>
          <w:szCs w:val="24"/>
        </w:rPr>
        <w:t xml:space="preserve"> малых предприятий, </w:t>
      </w:r>
      <w:r w:rsidR="003B0624" w:rsidRPr="00767D63">
        <w:rPr>
          <w:rFonts w:ascii="Times New Roman" w:hAnsi="Times New Roman"/>
          <w:sz w:val="24"/>
          <w:szCs w:val="24"/>
        </w:rPr>
        <w:t>5 600</w:t>
      </w:r>
      <w:r w:rsidR="00C9356E" w:rsidRPr="00767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56E" w:rsidRPr="00767D63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="00C9356E" w:rsidRPr="00767D63">
        <w:rPr>
          <w:rFonts w:ascii="Times New Roman" w:hAnsi="Times New Roman"/>
          <w:sz w:val="24"/>
          <w:szCs w:val="24"/>
        </w:rPr>
        <w:t>).</w:t>
      </w:r>
    </w:p>
    <w:p w:rsidR="00C9356E" w:rsidRPr="00767D63" w:rsidRDefault="00C9356E" w:rsidP="008038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67D63">
        <w:t xml:space="preserve">Из общего количества юридических лиц, ведущих свою деятельность на территории МО ГО «Сыктывкар», почти 100% составляют малые и </w:t>
      </w:r>
      <w:proofErr w:type="spellStart"/>
      <w:r w:rsidRPr="00767D63">
        <w:t>микропредприятия</w:t>
      </w:r>
      <w:proofErr w:type="spellEnd"/>
      <w:r w:rsidRPr="00767D63">
        <w:t>.</w:t>
      </w:r>
    </w:p>
    <w:p w:rsidR="00C9356E" w:rsidRPr="00767D63" w:rsidRDefault="00C9356E" w:rsidP="008038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67D63">
        <w:t>Оборот малых и средних предприятий города за 2015 год составил 37 639,5 млн. рублей (40,76% по Республике Коми), что составляет свыше 19,80% от общего оборота товаров (работ, услуг) по городу. Информация об обороте малых и средних предприятий города за 20</w:t>
      </w:r>
      <w:r w:rsidR="00886735" w:rsidRPr="00767D63">
        <w:t>18</w:t>
      </w:r>
      <w:r w:rsidRPr="00767D63">
        <w:t>-20</w:t>
      </w:r>
      <w:r w:rsidR="00886735" w:rsidRPr="00767D63">
        <w:t>20</w:t>
      </w:r>
      <w:r w:rsidR="001B349A" w:rsidRPr="00767D63">
        <w:t xml:space="preserve"> годы отсутствует по причине проведения сплошного наблюдения 1 раз в 5 лет.</w:t>
      </w:r>
    </w:p>
    <w:p w:rsidR="00B71509" w:rsidRPr="00767D63" w:rsidRDefault="0004265C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 xml:space="preserve">На показатели развития малого и среднего предпринимательства в 2020 году повлияла сложная экономическая ситуация, сложившаяся из-за распространения новой </w:t>
      </w:r>
      <w:proofErr w:type="spellStart"/>
      <w:r w:rsidRPr="00767D63">
        <w:t>коронавирусной</w:t>
      </w:r>
      <w:proofErr w:type="spellEnd"/>
      <w:r w:rsidRPr="00767D63">
        <w:t xml:space="preserve"> инфекции. В условиях режима «повышенной готовности», введенного Указом Главы РК от 15.03.2020 № 16, пострадало значительное количество хозяйствующих субъектов, в основном это субъекты, осуществляющие деятельность в сфере: торговли непродовольственными товарами, предоставления услуг общественного питания, предоставления бытовых услуг, досуга, культурно-спортивных мероприятий (детские комнаты, аттракционы). </w:t>
      </w:r>
    </w:p>
    <w:p w:rsidR="00C9356E" w:rsidRPr="00767D63" w:rsidRDefault="00C9356E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>В</w:t>
      </w:r>
      <w:r w:rsidR="0004265C" w:rsidRPr="00767D63">
        <w:t xml:space="preserve"> сложившихся</w:t>
      </w:r>
      <w:r w:rsidRPr="00767D63">
        <w:t xml:space="preserve"> условиях важна поддержка малого и среднего предпринимательства со стороны муниципалитета, прежде всего, как формы занятости населения, а также как существенной сферы экономики города.</w:t>
      </w:r>
      <w:r w:rsidR="0004265C" w:rsidRPr="00767D63">
        <w:t xml:space="preserve"> </w:t>
      </w:r>
    </w:p>
    <w:p w:rsidR="00E35E9D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>Для поддержки хозяйствующих субъектов на уровне МО ГО «Сыктывкар» были приняты меры поддержки, такие как:</w:t>
      </w:r>
    </w:p>
    <w:p w:rsidR="00E35E9D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>- предоставление права субъектам малого и среднего предпринимательства – арендаторам муниципального имущества (по их обращению) на временную отсрочку внесения арендной платы, предусмотренной до 31 декабря 2020 года;</w:t>
      </w:r>
    </w:p>
    <w:p w:rsidR="00E35E9D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>-  освобождение от внесения арендной платы для арендаторов муниципального имущества - субъектов малого и среднего предпринимательства  за период с 1 марта 2020 года до последнего дня месяца, в котором действует режим повышенной готовности на территории Республики Коми, включительно;</w:t>
      </w:r>
    </w:p>
    <w:p w:rsidR="00E35E9D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 xml:space="preserve">-   освобождение на период </w:t>
      </w:r>
      <w:proofErr w:type="gramStart"/>
      <w:r w:rsidRPr="00767D63">
        <w:t>действия режима повышенной готовности владельцев рекламных конструкций</w:t>
      </w:r>
      <w:proofErr w:type="gramEnd"/>
      <w:r w:rsidRPr="00767D63">
        <w:t xml:space="preserve"> по их письменным заявлениям от внесения платы, предусмотренной по договорам на установку и эксплуатацию рекламных конструкций на имуществе, находящемся в собственности МО ГО «Сыктывкар»;</w:t>
      </w:r>
    </w:p>
    <w:p w:rsidR="00E35E9D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 xml:space="preserve"> Кроме того, с учетом обращений юридических и физических лиц на территории МО ГО «Сыктывкар» были снижены ставки:</w:t>
      </w:r>
    </w:p>
    <w:p w:rsidR="00E35E9D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>- по налогу на имущество физических лиц с 1,5% до 1% для индивидуальных предпринимателей (за 2019 год), которые по состоянию на 1 января 2020 года включены в единый реестр СМП по объектам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04265C" w:rsidRPr="00767D63" w:rsidRDefault="00E35E9D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t>- по земельному налогу в отношении прочих земельных участков с 1,5% до 1,3% для налогоплательщиков-организаций на налоговый период 2020 года, для налогоплательщиков - физических лиц за 2019 год.</w:t>
      </w:r>
    </w:p>
    <w:p w:rsidR="00001BD9" w:rsidRPr="00767D63" w:rsidRDefault="00001BD9" w:rsidP="008038E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</w:pPr>
      <w:r w:rsidRPr="00767D63">
        <w:lastRenderedPageBreak/>
        <w:t>Поскольку проведение очередного набл</w:t>
      </w:r>
      <w:r w:rsidR="00E35E9D" w:rsidRPr="00767D63">
        <w:t xml:space="preserve">юдения за деятельностью бизнеса будет проведено только в 2021 году, </w:t>
      </w:r>
      <w:r w:rsidRPr="00767D63">
        <w:t>плановые значения показателей спланированы на уровне 20</w:t>
      </w:r>
      <w:r w:rsidR="00E35E9D" w:rsidRPr="00767D63">
        <w:t>20</w:t>
      </w:r>
      <w:r w:rsidRPr="00767D63">
        <w:t xml:space="preserve"> года. </w:t>
      </w:r>
    </w:p>
    <w:p w:rsidR="00E35E9D" w:rsidRPr="00767D63" w:rsidRDefault="00E35E9D" w:rsidP="008038E7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3D2C6A" w:rsidRPr="00767D63" w:rsidRDefault="00E35E9D" w:rsidP="008038E7">
      <w:pPr>
        <w:ind w:firstLine="709"/>
        <w:jc w:val="both"/>
      </w:pPr>
      <w:r w:rsidRPr="00767D63">
        <w:rPr>
          <w:rFonts w:eastAsia="Times New Roman"/>
        </w:rPr>
        <w:t xml:space="preserve">Постановлением администрации МО ГО «Сыктывкар» от 30.12.2019 № 12/3912 утверждена муниципальная программа МО ГО «Сыктывкар» «Содействие развитию экономики». </w:t>
      </w:r>
      <w:r w:rsidR="003D2C6A" w:rsidRPr="00767D63">
        <w:t xml:space="preserve">В 2020 г. общий объем бюджетных ассигнований в рамках реализации муниципальной программы составил 27 186,3 тыс. рублей. </w:t>
      </w:r>
    </w:p>
    <w:p w:rsidR="00FF548A" w:rsidRPr="00767D63" w:rsidRDefault="00F164E2" w:rsidP="008038E7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767D63">
        <w:rPr>
          <w:rFonts w:eastAsia="Times New Roman"/>
        </w:rPr>
        <w:t>В рамках реализации программы проводится комплексная работа по поддержке и развитию субъектов малого и среднего предпринимательства (далее – субъекты МСП).  На сайте администрации МО ГО «Сыктывка</w:t>
      </w:r>
      <w:r w:rsidR="003E28CB" w:rsidRPr="00767D63">
        <w:rPr>
          <w:rFonts w:eastAsia="Times New Roman"/>
        </w:rPr>
        <w:t>р» создан и поддерживается в ак</w:t>
      </w:r>
      <w:r w:rsidRPr="00767D63">
        <w:rPr>
          <w:rFonts w:eastAsia="Times New Roman"/>
        </w:rPr>
        <w:t>туальном состоянии информационный раздел «Мой бизнес»  (</w:t>
      </w:r>
      <w:proofErr w:type="spellStart"/>
      <w:r w:rsidRPr="00767D63">
        <w:rPr>
          <w:rFonts w:eastAsia="Times New Roman"/>
        </w:rPr>
        <w:t>сыктывкар</w:t>
      </w:r>
      <w:proofErr w:type="gramStart"/>
      <w:r w:rsidRPr="00767D63">
        <w:rPr>
          <w:rFonts w:eastAsia="Times New Roman"/>
        </w:rPr>
        <w:t>.р</w:t>
      </w:r>
      <w:proofErr w:type="gramEnd"/>
      <w:r w:rsidRPr="00767D63">
        <w:rPr>
          <w:rFonts w:eastAsia="Times New Roman"/>
        </w:rPr>
        <w:t>ф</w:t>
      </w:r>
      <w:proofErr w:type="spellEnd"/>
      <w:r w:rsidRPr="00767D63">
        <w:rPr>
          <w:rFonts w:eastAsia="Times New Roman"/>
        </w:rPr>
        <w:t xml:space="preserve"> - Мой бизнес), в данном разделе размещается полезная информация и ссылки для субъектов МСП о видах и формах финансовой, имущественной поддержки субъектов МСП, об организациях, образующих инфраструктуру поддержки субъ</w:t>
      </w:r>
      <w:r w:rsidR="003E28CB" w:rsidRPr="00767D63">
        <w:rPr>
          <w:rFonts w:eastAsia="Times New Roman"/>
        </w:rPr>
        <w:t>ектов МСП, о работе Ко</w:t>
      </w:r>
      <w:r w:rsidRPr="00767D63">
        <w:rPr>
          <w:rFonts w:eastAsia="Times New Roman"/>
        </w:rPr>
        <w:t xml:space="preserve">ординационного Совета по малому и среднему предпринимательству при главе МО ГО «Сыктывкар» - </w:t>
      </w:r>
      <w:proofErr w:type="gramStart"/>
      <w:r w:rsidRPr="00767D63">
        <w:rPr>
          <w:rFonts w:eastAsia="Times New Roman"/>
        </w:rPr>
        <w:t>руководителе</w:t>
      </w:r>
      <w:proofErr w:type="gramEnd"/>
      <w:r w:rsidRPr="00767D63">
        <w:rPr>
          <w:rFonts w:eastAsia="Times New Roman"/>
        </w:rPr>
        <w:t xml:space="preserve"> администрации и другая информация.</w:t>
      </w:r>
      <w:r w:rsidR="00001BD9" w:rsidRPr="00767D63">
        <w:t xml:space="preserve"> 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Сотрудниками муниципального бюджетного учреждения «Городской центр предпринимательства и инноваций» за отчетный год:</w:t>
      </w:r>
      <w:r w:rsidRPr="00767D63">
        <w:t xml:space="preserve"> 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оказана информационно-консультационная поддержка 1 555 субъектам малого и среднего предпринимательства;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проведено 4 мероприятия для субъектов малого и среднего предпринимательства по актуальным вопросам с охватом не менее 50 человек;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проведено 46 ярмарок, 8 общегородских мероприятий, 10 семинаров онлайн;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- 100% от общей площади МБУ «ГЦПИ», сдаваемой в аренду, предоставлено субъектам малого и среднего предпринимательства в пользование на льготных условиях;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осуществлялась реализация программы обучения «Менеджмент в малом и среднем бизнесе» (обучение основам предпринимательской деятельности с разработкой бизнес-плана), количество обучающихся – 34 человек, успешно окончили и получили свидетельства установленного образца 31 человек.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оказана имущественная поддержка 13 субъектам МСП.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- участие в проекте «Школа финансовой грамотности», реализуемом на территории МО ГО «Сыктывкар», приняли 378 человек.</w:t>
      </w:r>
    </w:p>
    <w:p w:rsidR="00AD3C53" w:rsidRPr="00767D63" w:rsidRDefault="00AD3C53" w:rsidP="008038E7">
      <w:pPr>
        <w:ind w:firstLine="709"/>
        <w:jc w:val="both"/>
        <w:rPr>
          <w:lang w:eastAsia="en-US"/>
        </w:rPr>
      </w:pPr>
      <w:r w:rsidRPr="00767D63">
        <w:rPr>
          <w:lang w:eastAsia="en-US"/>
        </w:rPr>
        <w:t>С начала 2020 года в рамках реализации отдельных мероприятий, предусмотренных региональным проектом «Популяризация предпринимательства» 409 граждан МО ГО «Сыктывкар» обучены основам ведения бизнеса, финансовой грамотности и иным навыкам предпринимательской деятельности, 44 гражданина стали участниками федерального проекта «Популяризация предпринимательства», по итогам участия в проекте  44 гражданина заняты в сфере МСП.</w:t>
      </w:r>
    </w:p>
    <w:p w:rsidR="00AD3C53" w:rsidRPr="00767D63" w:rsidRDefault="00AD3C53" w:rsidP="008038E7">
      <w:pPr>
        <w:ind w:firstLine="709"/>
        <w:jc w:val="both"/>
      </w:pPr>
      <w:r w:rsidRPr="00767D63">
        <w:t xml:space="preserve">ГУ РК «Центр занятости населения г. Сыктывкара» проведено 32 ярмарки вакансий рабочих мест (в том числе при поддержке администрации МО ГО «Сыктывкар» и МБУ «ГЦПИ»). </w:t>
      </w:r>
    </w:p>
    <w:p w:rsidR="003E28CB" w:rsidRPr="00767D63" w:rsidRDefault="003E28CB" w:rsidP="008038E7">
      <w:pPr>
        <w:ind w:firstLine="709"/>
        <w:jc w:val="both"/>
      </w:pPr>
      <w:r w:rsidRPr="00767D63">
        <w:t xml:space="preserve">В целях пропаганды профессий, совершенствования профессионального мастерства, выявления и поощрения наиболее грамотных, компетентных сотрудников - профессионалов своего дела на территории МО ГО «Сыктывкар» проведен конкурс «Лучший по профессии-2019» (постановление администрации МО ГО «Сыктывкар» от </w:t>
      </w:r>
      <w:r w:rsidR="00081AA1" w:rsidRPr="00767D63">
        <w:t>10.07.2020</w:t>
      </w:r>
      <w:r w:rsidRPr="00767D63">
        <w:t xml:space="preserve"> № </w:t>
      </w:r>
      <w:r w:rsidR="00081AA1" w:rsidRPr="00767D63">
        <w:t>7/1529</w:t>
      </w:r>
      <w:r w:rsidRPr="00767D63">
        <w:t xml:space="preserve"> «О проведении конкурса «Лучший по профессии – 20</w:t>
      </w:r>
      <w:r w:rsidR="00081AA1" w:rsidRPr="00767D63">
        <w:t>20</w:t>
      </w:r>
      <w:r w:rsidRPr="00767D63">
        <w:t>»). Поощрение победителей осуществлялось публикациями в газете «Панорама столицы». В 20</w:t>
      </w:r>
      <w:r w:rsidR="00081AA1" w:rsidRPr="00767D63">
        <w:t>20</w:t>
      </w:r>
      <w:r w:rsidRPr="00767D63">
        <w:t xml:space="preserve"> году состоялась комиссия, по итогам которой были признаны лучшими </w:t>
      </w:r>
      <w:r w:rsidR="00816653" w:rsidRPr="00767D63">
        <w:t>3</w:t>
      </w:r>
      <w:r w:rsidRPr="00767D63">
        <w:t xml:space="preserve"> человек. </w:t>
      </w:r>
    </w:p>
    <w:p w:rsidR="003E28CB" w:rsidRPr="00767D63" w:rsidRDefault="003E28CB" w:rsidP="008038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67D63">
        <w:t xml:space="preserve">Кроме МБУ «ГЦПИ», консультационная поддержка оказывалась сотрудниками отраслевых (функциональных) органов администрации МО ГО «Сыктывкар», администрации </w:t>
      </w:r>
      <w:proofErr w:type="spellStart"/>
      <w:r w:rsidRPr="00767D63">
        <w:t>Эжвинского</w:t>
      </w:r>
      <w:proofErr w:type="spellEnd"/>
      <w:r w:rsidRPr="00767D63">
        <w:t xml:space="preserve"> района МО ГО «Сыктывкар». За отчетный период предоставлено </w:t>
      </w:r>
      <w:r w:rsidR="00081AA1" w:rsidRPr="00767D63">
        <w:t xml:space="preserve">более 1500 </w:t>
      </w:r>
      <w:r w:rsidRPr="00767D63">
        <w:t>консультаций.</w:t>
      </w:r>
    </w:p>
    <w:p w:rsidR="003E28CB" w:rsidRPr="00767D63" w:rsidRDefault="003E28CB" w:rsidP="008038E7">
      <w:pPr>
        <w:ind w:firstLine="709"/>
        <w:jc w:val="both"/>
      </w:pPr>
      <w:bookmarkStart w:id="0" w:name="_ximg0fc9zx1b" w:colFirst="0" w:colLast="0"/>
      <w:bookmarkEnd w:id="0"/>
      <w:proofErr w:type="gramStart"/>
      <w:r w:rsidRPr="00767D63">
        <w:t xml:space="preserve">В целях оказания имущественной поддержки максимальному числу субъектов МСП администрацией МО ГО «Сыктывкар» сформирован Перечень муниципального имущества муниципального образования городского округа «Сыктывкар», предназначенного для </w:t>
      </w:r>
      <w:r w:rsidRPr="00767D63">
        <w:lastRenderedPageBreak/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администрации МО ГО «Сыктывкар» от 06.05.2010 №</w:t>
      </w:r>
      <w:r w:rsidR="00081AA1" w:rsidRPr="00767D63">
        <w:t xml:space="preserve"> </w:t>
      </w:r>
      <w:r w:rsidRPr="00767D63">
        <w:t>5/2146).</w:t>
      </w:r>
      <w:proofErr w:type="gramEnd"/>
      <w:r w:rsidRPr="00767D63">
        <w:t xml:space="preserve"> </w:t>
      </w:r>
      <w:r w:rsidR="00816653" w:rsidRPr="00767D63">
        <w:rPr>
          <w:lang w:eastAsia="en-US"/>
        </w:rPr>
        <w:t xml:space="preserve">Так перечень на 01.01.2021 года включает 49 объекта недвижимости общей площадью 6,6 тыс. </w:t>
      </w:r>
      <w:proofErr w:type="spellStart"/>
      <w:r w:rsidR="00816653" w:rsidRPr="00767D63">
        <w:rPr>
          <w:lang w:eastAsia="en-US"/>
        </w:rPr>
        <w:t>кв</w:t>
      </w:r>
      <w:proofErr w:type="gramStart"/>
      <w:r w:rsidR="00816653" w:rsidRPr="00767D63">
        <w:rPr>
          <w:lang w:eastAsia="en-US"/>
        </w:rPr>
        <w:t>.м</w:t>
      </w:r>
      <w:proofErr w:type="spellEnd"/>
      <w:proofErr w:type="gramEnd"/>
      <w:r w:rsidR="00816653" w:rsidRPr="00767D63">
        <w:rPr>
          <w:lang w:eastAsia="en-US"/>
        </w:rPr>
        <w:t xml:space="preserve">, из которых 34 объекта площадью 3,7 тыс. </w:t>
      </w:r>
      <w:proofErr w:type="spellStart"/>
      <w:r w:rsidR="00816653" w:rsidRPr="00767D63">
        <w:rPr>
          <w:lang w:eastAsia="en-US"/>
        </w:rPr>
        <w:t>кв.м</w:t>
      </w:r>
      <w:proofErr w:type="spellEnd"/>
      <w:r w:rsidR="00816653" w:rsidRPr="00767D63">
        <w:rPr>
          <w:lang w:eastAsia="en-US"/>
        </w:rPr>
        <w:t xml:space="preserve"> находится в аренде. </w:t>
      </w:r>
      <w:r w:rsidRPr="00767D63">
        <w:t xml:space="preserve">Перечень регулярно публикуется на официальном сайте администрации МО ГО «Сыктывкар» в сети «Интернет» - </w:t>
      </w:r>
      <w:proofErr w:type="spellStart"/>
      <w:r w:rsidRPr="00767D63">
        <w:t>сыктывкар.рф</w:t>
      </w:r>
      <w:proofErr w:type="spellEnd"/>
      <w:r w:rsidRPr="00767D63">
        <w:t xml:space="preserve">. Кроме того, в целях передачи помещений в пользование (в аренду) субъектам МСП на сайте администрации, в газете «Панорама столицы», на сайте МБУ «ГЦПИ» размещаются извещения о наличии свободных помещений и приеме заявлений на их аренду. </w:t>
      </w:r>
      <w:r w:rsidR="00EA01BE" w:rsidRPr="00767D63">
        <w:t>И</w:t>
      </w:r>
      <w:r w:rsidRPr="00767D63">
        <w:t xml:space="preserve">мущественную поддержку в виде передачи имущества в аренду получили </w:t>
      </w:r>
      <w:r w:rsidR="00816653" w:rsidRPr="00767D63">
        <w:t>9</w:t>
      </w:r>
      <w:r w:rsidRPr="00767D63">
        <w:t xml:space="preserve"> субъектов малого и среднего предпринимательства.</w:t>
      </w:r>
    </w:p>
    <w:p w:rsidR="00816653" w:rsidRPr="00767D63" w:rsidRDefault="00816653" w:rsidP="008038E7">
      <w:pPr>
        <w:ind w:firstLine="709"/>
        <w:jc w:val="both"/>
      </w:pPr>
      <w:r w:rsidRPr="00767D63">
        <w:t>На территории МО ГО «Сыктывкар» функционирует АНО Республики Коми «Центр развития предпринимательства» — региональный Центр «Мой бизнес» (далее — Центр), единый орган управления всеми организациями инфраструктуры поддержки предпринимательства Республики Коми.</w:t>
      </w:r>
    </w:p>
    <w:p w:rsidR="00816653" w:rsidRPr="00767D63" w:rsidRDefault="00816653" w:rsidP="008038E7">
      <w:pPr>
        <w:ind w:firstLine="709"/>
        <w:jc w:val="both"/>
      </w:pPr>
      <w:r w:rsidRPr="00767D63">
        <w:t>В структуре Центра представлено 5 узкоспециализированных центров. Кроме того, на его площадке располагается АО «</w:t>
      </w:r>
      <w:proofErr w:type="spellStart"/>
      <w:r w:rsidRPr="00767D63">
        <w:t>Микрокредитная</w:t>
      </w:r>
      <w:proofErr w:type="spellEnd"/>
      <w:r w:rsidRPr="00767D63">
        <w:t xml:space="preserve"> компания Республики Коми» и АО «Гарантийный фонд Республики Коми», а также функционирует 3 окна МФЦ для бизнеса, позволяющих обеспечить «единую точку доступа» и комплексный подход к информированию и консультированию.</w:t>
      </w:r>
    </w:p>
    <w:p w:rsidR="00816653" w:rsidRPr="00767D63" w:rsidRDefault="00816653" w:rsidP="008038E7">
      <w:pPr>
        <w:ind w:firstLine="567"/>
        <w:jc w:val="both"/>
      </w:pPr>
      <w:r w:rsidRPr="00767D63">
        <w:t>На территории г. Сыктывкара в 2020 году Центром проведено в очном режиме 21 мероприятие различного формата, в которых приняли участие 273 субъекта МСП и 157 физических лица (в 2019 году 56 мероприятий с участием 668 субъектов МСП и 5204 физических лиц), в том числе:</w:t>
      </w:r>
    </w:p>
    <w:p w:rsidR="00816653" w:rsidRPr="00767D63" w:rsidRDefault="00816653" w:rsidP="008038E7">
      <w:pPr>
        <w:ind w:firstLine="567"/>
        <w:jc w:val="both"/>
      </w:pPr>
      <w:r w:rsidRPr="00767D63">
        <w:t>– 5 обучающих программ (приняли участие 52 субъекта МСП и 43 физических лица);</w:t>
      </w:r>
    </w:p>
    <w:p w:rsidR="00816653" w:rsidRPr="00767D63" w:rsidRDefault="00816653" w:rsidP="008038E7">
      <w:pPr>
        <w:ind w:firstLine="567"/>
        <w:jc w:val="both"/>
      </w:pPr>
      <w:r w:rsidRPr="00767D63">
        <w:t xml:space="preserve">– 2 акселерационные программы (приняли участие 32 субъекта МСП и 7 физических лиц); </w:t>
      </w:r>
    </w:p>
    <w:p w:rsidR="00816653" w:rsidRPr="00767D63" w:rsidRDefault="00816653" w:rsidP="008038E7">
      <w:pPr>
        <w:ind w:firstLine="567"/>
        <w:jc w:val="both"/>
      </w:pPr>
      <w:r w:rsidRPr="00767D63">
        <w:t xml:space="preserve">– 5 круглых столов (приняли участие 54 субъекта МСП и 22 физических лица); </w:t>
      </w:r>
    </w:p>
    <w:p w:rsidR="00816653" w:rsidRPr="00767D63" w:rsidRDefault="00816653" w:rsidP="008038E7">
      <w:pPr>
        <w:ind w:firstLine="567"/>
        <w:jc w:val="both"/>
      </w:pPr>
      <w:r w:rsidRPr="00767D63">
        <w:t xml:space="preserve">– 3 семинара (приняли участие 48 субъектов МСП и 27 физических лиц); </w:t>
      </w:r>
    </w:p>
    <w:p w:rsidR="00816653" w:rsidRPr="00767D63" w:rsidRDefault="00816653" w:rsidP="008038E7">
      <w:pPr>
        <w:ind w:firstLine="567"/>
        <w:jc w:val="both"/>
      </w:pPr>
      <w:r w:rsidRPr="00767D63">
        <w:t xml:space="preserve">– 2 тренинга (приняли участие 13 субъектов МСП и 23 физических лица); </w:t>
      </w:r>
    </w:p>
    <w:p w:rsidR="00816653" w:rsidRPr="00767D63" w:rsidRDefault="00816653" w:rsidP="008038E7">
      <w:pPr>
        <w:ind w:firstLine="567"/>
        <w:jc w:val="both"/>
      </w:pPr>
      <w:r w:rsidRPr="00767D63">
        <w:t xml:space="preserve">– другие мероприятия — конкурсы, мастер-класс, конференция, ярмарка. </w:t>
      </w:r>
    </w:p>
    <w:p w:rsidR="00816653" w:rsidRPr="00767D63" w:rsidRDefault="00816653" w:rsidP="008038E7">
      <w:pPr>
        <w:ind w:firstLine="567"/>
        <w:jc w:val="both"/>
      </w:pPr>
      <w:r w:rsidRPr="00767D63">
        <w:t>Проведено — 119 консультаций субъектов МСП и 47 консультаций физических лиц, планирующих начать предпринимательскую деятельность на территории МО ГО «Сыктывкар».</w:t>
      </w:r>
    </w:p>
    <w:p w:rsidR="00816653" w:rsidRPr="00767D63" w:rsidRDefault="00816653" w:rsidP="008038E7">
      <w:pPr>
        <w:ind w:firstLine="567"/>
        <w:jc w:val="both"/>
      </w:pPr>
      <w:r w:rsidRPr="00767D63">
        <w:t xml:space="preserve">В трех </w:t>
      </w:r>
      <w:proofErr w:type="gramStart"/>
      <w:r w:rsidRPr="00767D63">
        <w:t>бизнес-миссиях</w:t>
      </w:r>
      <w:proofErr w:type="gramEnd"/>
      <w:r w:rsidRPr="00767D63">
        <w:t xml:space="preserve"> во Владимирскую, Кировскую и Вологодскую области приняли участие 18 предпринимателей МО ГО «Сыктывкар».</w:t>
      </w:r>
    </w:p>
    <w:p w:rsidR="004B000A" w:rsidRPr="00767D63" w:rsidRDefault="00D879A4" w:rsidP="008038E7">
      <w:pPr>
        <w:ind w:firstLine="567"/>
        <w:jc w:val="both"/>
      </w:pPr>
      <w:r w:rsidRPr="00767D63">
        <w:t>Важным показателем экономического развития муниципального образова</w:t>
      </w:r>
      <w:r w:rsidR="00727800" w:rsidRPr="00767D63">
        <w:t xml:space="preserve">ния являются </w:t>
      </w:r>
      <w:r w:rsidRPr="00767D63">
        <w:t>инвестици</w:t>
      </w:r>
      <w:r w:rsidR="0073702C" w:rsidRPr="00767D63">
        <w:t>и</w:t>
      </w:r>
      <w:r w:rsidRPr="00767D63">
        <w:t xml:space="preserve"> в основной капитал.</w:t>
      </w:r>
      <w:r w:rsidR="00727800" w:rsidRPr="00767D63">
        <w:t xml:space="preserve"> По данным </w:t>
      </w:r>
      <w:r w:rsidR="004B000A" w:rsidRPr="00767D63">
        <w:t xml:space="preserve">территориального органа Федеральной службы государственной статистики по Республике Коми (далее – </w:t>
      </w:r>
      <w:proofErr w:type="spellStart"/>
      <w:r w:rsidR="0073702C" w:rsidRPr="00767D63">
        <w:t>Комистат</w:t>
      </w:r>
      <w:proofErr w:type="spellEnd"/>
      <w:r w:rsidR="004B000A" w:rsidRPr="00767D63">
        <w:t xml:space="preserve">) </w:t>
      </w:r>
      <w:r w:rsidR="004B000A" w:rsidRPr="00767D63">
        <w:rPr>
          <w:i/>
        </w:rPr>
        <w:t>объем инвестиций в основной капитал (за исключением бюджетных средств) в расчете на 1 жителя</w:t>
      </w:r>
      <w:r w:rsidR="004B000A" w:rsidRPr="00767D63">
        <w:t xml:space="preserve"> по итогам 20</w:t>
      </w:r>
      <w:r w:rsidR="00816653" w:rsidRPr="00767D63">
        <w:t>20</w:t>
      </w:r>
      <w:r w:rsidR="004B000A" w:rsidRPr="00767D63">
        <w:t xml:space="preserve"> года составил </w:t>
      </w:r>
      <w:r w:rsidR="002D740A" w:rsidRPr="00767D63">
        <w:t>62 174,00</w:t>
      </w:r>
      <w:r w:rsidR="004B000A" w:rsidRPr="00767D63">
        <w:t xml:space="preserve"> рублей, что </w:t>
      </w:r>
      <w:r w:rsidR="00EA01BE" w:rsidRPr="00767D63">
        <w:t xml:space="preserve">на </w:t>
      </w:r>
      <w:r w:rsidR="002D740A" w:rsidRPr="00767D63">
        <w:t>9 666</w:t>
      </w:r>
      <w:r w:rsidR="00EA01BE" w:rsidRPr="00767D63">
        <w:t xml:space="preserve"> руб.</w:t>
      </w:r>
      <w:r w:rsidR="004B000A" w:rsidRPr="00767D63">
        <w:t xml:space="preserve"> </w:t>
      </w:r>
      <w:r w:rsidR="002D740A" w:rsidRPr="00767D63">
        <w:t>ниже</w:t>
      </w:r>
      <w:r w:rsidR="004B000A" w:rsidRPr="00767D63">
        <w:t xml:space="preserve"> уровня 20</w:t>
      </w:r>
      <w:r w:rsidR="002D740A" w:rsidRPr="00767D63">
        <w:t>19</w:t>
      </w:r>
      <w:r w:rsidR="004B000A" w:rsidRPr="00767D63">
        <w:t xml:space="preserve"> года. </w:t>
      </w:r>
    </w:p>
    <w:p w:rsidR="002D740A" w:rsidRPr="00767D63" w:rsidRDefault="002D740A" w:rsidP="008038E7">
      <w:pPr>
        <w:ind w:firstLine="567"/>
        <w:jc w:val="both"/>
      </w:pPr>
      <w:r w:rsidRPr="00767D63">
        <w:t xml:space="preserve">На снижение показателя повлияла, в первую очередь, негативная экономическая ситуация, связанная с распространением новой </w:t>
      </w:r>
      <w:proofErr w:type="spellStart"/>
      <w:r w:rsidRPr="00767D63">
        <w:t>коронавирусной</w:t>
      </w:r>
      <w:proofErr w:type="spellEnd"/>
      <w:r w:rsidRPr="00767D63">
        <w:t xml:space="preserve"> инфекции.</w:t>
      </w:r>
    </w:p>
    <w:p w:rsidR="00102FE6" w:rsidRPr="00767D63" w:rsidRDefault="00102FE6" w:rsidP="008038E7">
      <w:pPr>
        <w:ind w:firstLine="567"/>
        <w:jc w:val="both"/>
      </w:pPr>
      <w:r w:rsidRPr="00767D63">
        <w:t>В 20</w:t>
      </w:r>
      <w:r w:rsidR="002D740A" w:rsidRPr="00767D63">
        <w:t>20</w:t>
      </w:r>
      <w:r w:rsidRPr="00767D63">
        <w:t xml:space="preserve"> году</w:t>
      </w:r>
      <w:r w:rsidR="00622D82" w:rsidRPr="00767D63">
        <w:t>, по информации предприятий города, ими</w:t>
      </w:r>
      <w:r w:rsidRPr="00767D63">
        <w:t xml:space="preserve"> </w:t>
      </w:r>
      <w:r w:rsidR="000D3A7F" w:rsidRPr="00767D63">
        <w:t>осуществл</w:t>
      </w:r>
      <w:r w:rsidR="002D740A" w:rsidRPr="00767D63">
        <w:t>яются</w:t>
      </w:r>
      <w:r w:rsidRPr="00767D63">
        <w:t xml:space="preserve"> следующие значимые инвестиционные проекты: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467"/>
        <w:gridCol w:w="1560"/>
        <w:gridCol w:w="1417"/>
      </w:tblGrid>
      <w:tr w:rsidR="00767D63" w:rsidRPr="00767D63" w:rsidTr="00625D03">
        <w:trPr>
          <w:trHeight w:val="727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№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Наименование инвестиционного проекта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Общая стоимость проекта (млн. рублей)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Срок реализации</w:t>
            </w:r>
          </w:p>
        </w:tc>
      </w:tr>
      <w:tr w:rsidR="00767D63" w:rsidRPr="00767D63" w:rsidTr="00625D03">
        <w:trPr>
          <w:trHeight w:val="290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1.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Модернизация ТЭЦ. Строительство нового корьевого котла и паровой турбины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9 518,0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2016-2020 гг.</w:t>
            </w:r>
          </w:p>
        </w:tc>
      </w:tr>
      <w:tr w:rsidR="00767D63" w:rsidRPr="00767D63" w:rsidTr="00625D03">
        <w:trPr>
          <w:trHeight w:val="270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Модернизация и расширение производственных линий АО «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Монди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 xml:space="preserve"> СЛПК» (проект «Горизонт»).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9 470,4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2017-2021 гг.</w:t>
            </w:r>
          </w:p>
        </w:tc>
      </w:tr>
      <w:tr w:rsidR="00767D63" w:rsidRPr="00767D63" w:rsidTr="00625D03">
        <w:trPr>
          <w:trHeight w:val="406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3.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Модернизация Сыктывкарского лесопильно-деревообрабатывающего комбината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4 083,6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2017-2025 гг.</w:t>
            </w:r>
          </w:p>
        </w:tc>
      </w:tr>
      <w:tr w:rsidR="00767D63" w:rsidRPr="00767D63" w:rsidTr="00625D03">
        <w:trPr>
          <w:trHeight w:val="669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lastRenderedPageBreak/>
              <w:t>4.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Строительство объектов лесоперерабатывающей инфраструктур</w:t>
            </w:r>
            <w:proofErr w:type="gramStart"/>
            <w:r w:rsidRPr="00767D63">
              <w:rPr>
                <w:rFonts w:eastAsia="Segoe UI"/>
                <w:bCs/>
                <w:kern w:val="24"/>
              </w:rPr>
              <w:t>ы ООО</w:t>
            </w:r>
            <w:proofErr w:type="gramEnd"/>
            <w:r w:rsidRPr="00767D63">
              <w:rPr>
                <w:rFonts w:eastAsia="Segoe UI"/>
                <w:bCs/>
                <w:kern w:val="24"/>
              </w:rPr>
              <w:t xml:space="preserve"> «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Лузалес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>» по глубокой переработке древесины, с созданием биоэнергетических установок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4 020,0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2018-2023 гг.</w:t>
            </w:r>
          </w:p>
        </w:tc>
      </w:tr>
      <w:tr w:rsidR="00767D63" w:rsidRPr="00767D63" w:rsidTr="00625D03">
        <w:trPr>
          <w:trHeight w:val="669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5.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Модернизация и расширение производственных мощностей ООО «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Лузалес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>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4 810,0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2018-2023</w:t>
            </w:r>
          </w:p>
        </w:tc>
      </w:tr>
      <w:tr w:rsidR="00767D63" w:rsidRPr="00767D63" w:rsidTr="00625D03">
        <w:trPr>
          <w:trHeight w:val="669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6.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 xml:space="preserve">Завод по производству фанерных плит и МДФ в м. 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Човью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 xml:space="preserve"> (ООО «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Лузалес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>»)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20 000,0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D03" w:rsidRPr="00767D63" w:rsidRDefault="00625D03" w:rsidP="00976763">
            <w:pPr>
              <w:jc w:val="both"/>
              <w:rPr>
                <w:rFonts w:eastAsia="Segoe UI"/>
                <w:bCs/>
                <w:kern w:val="24"/>
              </w:rPr>
            </w:pPr>
            <w:r w:rsidRPr="00767D63">
              <w:rPr>
                <w:rFonts w:eastAsia="Segoe UI"/>
                <w:bCs/>
                <w:kern w:val="24"/>
              </w:rPr>
              <w:t>2020-2023</w:t>
            </w:r>
          </w:p>
        </w:tc>
      </w:tr>
      <w:tr w:rsidR="00767D63" w:rsidRPr="00767D63" w:rsidTr="00625D03">
        <w:trPr>
          <w:trHeight w:val="90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7.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 xml:space="preserve">Реконструкция ПС 110/10 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кВ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 xml:space="preserve"> «</w:t>
            </w:r>
            <w:proofErr w:type="spellStart"/>
            <w:r w:rsidRPr="00767D63">
              <w:rPr>
                <w:rFonts w:eastAsia="Segoe UI"/>
                <w:bCs/>
                <w:kern w:val="24"/>
              </w:rPr>
              <w:t>Краснозатонская</w:t>
            </w:r>
            <w:proofErr w:type="spellEnd"/>
            <w:r w:rsidRPr="00767D63">
              <w:rPr>
                <w:rFonts w:eastAsia="Segoe UI"/>
                <w:bCs/>
                <w:kern w:val="24"/>
              </w:rPr>
              <w:t>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502,1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2008-2022 гг.</w:t>
            </w:r>
          </w:p>
        </w:tc>
      </w:tr>
      <w:tr w:rsidR="00767D63" w:rsidRPr="00767D63" w:rsidTr="00625D03">
        <w:trPr>
          <w:trHeight w:val="505"/>
        </w:trPr>
        <w:tc>
          <w:tcPr>
            <w:tcW w:w="4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8.</w:t>
            </w:r>
          </w:p>
        </w:tc>
        <w:tc>
          <w:tcPr>
            <w:tcW w:w="6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 xml:space="preserve">Строительство мусоросортировочного комплекса мощностью 200 тыс. тонн в г. Сыктывкаре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258,10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03" w:rsidRPr="00767D63" w:rsidRDefault="00625D03" w:rsidP="00976763">
            <w:pPr>
              <w:jc w:val="both"/>
              <w:rPr>
                <w:rFonts w:eastAsia="Times New Roman"/>
              </w:rPr>
            </w:pPr>
            <w:r w:rsidRPr="00767D63">
              <w:rPr>
                <w:rFonts w:eastAsia="Segoe UI"/>
                <w:bCs/>
                <w:kern w:val="24"/>
              </w:rPr>
              <w:t>2020-2029 гг.</w:t>
            </w:r>
          </w:p>
        </w:tc>
      </w:tr>
    </w:tbl>
    <w:p w:rsidR="00C462BD" w:rsidRPr="00767D63" w:rsidRDefault="00622D82" w:rsidP="008038E7">
      <w:pPr>
        <w:ind w:firstLine="567"/>
        <w:jc w:val="both"/>
      </w:pPr>
      <w:r w:rsidRPr="00767D63">
        <w:t>Плановое значение показателя определено исходя из предоставленных планов предприятий. Так, в</w:t>
      </w:r>
      <w:r w:rsidR="004B000A" w:rsidRPr="00767D63">
        <w:t xml:space="preserve"> 20</w:t>
      </w:r>
      <w:r w:rsidR="00D61D58" w:rsidRPr="00767D63">
        <w:t>2</w:t>
      </w:r>
      <w:r w:rsidR="00C462BD" w:rsidRPr="00767D63">
        <w:t>1</w:t>
      </w:r>
      <w:r w:rsidR="004B000A" w:rsidRPr="00767D63">
        <w:t xml:space="preserve"> год</w:t>
      </w:r>
      <w:proofErr w:type="gramStart"/>
      <w:r w:rsidR="004B000A" w:rsidRPr="00767D63">
        <w:t xml:space="preserve">у </w:t>
      </w:r>
      <w:r w:rsidR="00C462BD" w:rsidRPr="00767D63">
        <w:t>ООО</w:t>
      </w:r>
      <w:proofErr w:type="gramEnd"/>
      <w:r w:rsidR="00C462BD" w:rsidRPr="00767D63">
        <w:t xml:space="preserve"> «</w:t>
      </w:r>
      <w:proofErr w:type="spellStart"/>
      <w:r w:rsidR="00C462BD" w:rsidRPr="00767D63">
        <w:t>Лузалес</w:t>
      </w:r>
      <w:proofErr w:type="spellEnd"/>
      <w:r w:rsidR="00C462BD" w:rsidRPr="00767D63">
        <w:t xml:space="preserve">» </w:t>
      </w:r>
      <w:r w:rsidR="00625D03" w:rsidRPr="00767D63">
        <w:t>продолжит реализацию трех инвестиционных проектов</w:t>
      </w:r>
      <w:r w:rsidR="00C462BD" w:rsidRPr="00767D63">
        <w:t xml:space="preserve">, </w:t>
      </w:r>
      <w:r w:rsidR="002B683A" w:rsidRPr="00767D63">
        <w:t xml:space="preserve">ООО «Пригородный» планирует строительство </w:t>
      </w:r>
      <w:proofErr w:type="spellStart"/>
      <w:r w:rsidR="002B683A" w:rsidRPr="00767D63">
        <w:t>когенерационной</w:t>
      </w:r>
      <w:proofErr w:type="spellEnd"/>
      <w:r w:rsidR="002B683A" w:rsidRPr="00767D63">
        <w:t xml:space="preserve"> </w:t>
      </w:r>
      <w:proofErr w:type="spellStart"/>
      <w:r w:rsidR="002B683A" w:rsidRPr="00767D63">
        <w:t>газопоршневой</w:t>
      </w:r>
      <w:proofErr w:type="spellEnd"/>
      <w:r w:rsidR="002B683A" w:rsidRPr="00767D63">
        <w:t xml:space="preserve"> установки для производства тепловой и электрической энергии, ОАО «СТГ» планирует модернизацию производства санитарно-гигиенической продукции,</w:t>
      </w:r>
      <w:r w:rsidR="00361F58" w:rsidRPr="00767D63">
        <w:t xml:space="preserve"> ООО «</w:t>
      </w:r>
      <w:proofErr w:type="spellStart"/>
      <w:r w:rsidR="00361F58" w:rsidRPr="00767D63">
        <w:t>Сыктывкархлеб</w:t>
      </w:r>
      <w:proofErr w:type="spellEnd"/>
      <w:r w:rsidR="00361F58" w:rsidRPr="00767D63">
        <w:t>» продолжит реализацию технического перевооружения и модернизации производства.</w:t>
      </w:r>
    </w:p>
    <w:p w:rsidR="00AD3C53" w:rsidRPr="00767D63" w:rsidRDefault="00622D82" w:rsidP="008038E7">
      <w:pPr>
        <w:tabs>
          <w:tab w:val="center" w:pos="7632"/>
        </w:tabs>
        <w:ind w:right="72" w:firstLine="567"/>
        <w:jc w:val="both"/>
      </w:pPr>
      <w:r w:rsidRPr="00767D63">
        <w:t xml:space="preserve">На территории города развиваются также сельскохозяйственные организации. </w:t>
      </w:r>
      <w:proofErr w:type="gramStart"/>
      <w:r w:rsidR="00DF3845" w:rsidRPr="00767D63">
        <w:t>В 20</w:t>
      </w:r>
      <w:r w:rsidR="00AD3C53" w:rsidRPr="00767D63">
        <w:t>20</w:t>
      </w:r>
      <w:r w:rsidR="00DF3845" w:rsidRPr="00767D63">
        <w:t xml:space="preserve"> году по сравнению с 201</w:t>
      </w:r>
      <w:r w:rsidR="00AD3C53" w:rsidRPr="00767D63">
        <w:t>9</w:t>
      </w:r>
      <w:r w:rsidR="00DF3845" w:rsidRPr="00767D63">
        <w:t xml:space="preserve"> годом в сельскохозяйственных организациях (без </w:t>
      </w:r>
      <w:proofErr w:type="spellStart"/>
      <w:r w:rsidR="00DF3845" w:rsidRPr="00767D63">
        <w:t>микропредприятий</w:t>
      </w:r>
      <w:proofErr w:type="spellEnd"/>
      <w:r w:rsidR="00DF3845" w:rsidRPr="00767D63">
        <w:t xml:space="preserve">) </w:t>
      </w:r>
      <w:r w:rsidR="00AD3C53" w:rsidRPr="00767D63">
        <w:t xml:space="preserve">производство скота и птицы на убой (в живом весе) уменьшилось на 5,2% и составило 1 406 ц. (1 483 ц. - в 2019 г.), при этом увеличилась реализация на 21,5% и составила 1 803 ц. (1 484 ц. – в 2019 г.). </w:t>
      </w:r>
      <w:proofErr w:type="gramEnd"/>
    </w:p>
    <w:p w:rsidR="00D61D58" w:rsidRPr="00767D63" w:rsidRDefault="00D61D58" w:rsidP="008038E7">
      <w:pPr>
        <w:tabs>
          <w:tab w:val="center" w:pos="7632"/>
        </w:tabs>
        <w:ind w:right="72" w:firstLine="567"/>
        <w:jc w:val="both"/>
      </w:pPr>
      <w:r w:rsidRPr="00767D63">
        <w:t>По состоянию на 1 января 202</w:t>
      </w:r>
      <w:r w:rsidR="00361F58" w:rsidRPr="00767D63">
        <w:t>1</w:t>
      </w:r>
      <w:r w:rsidRPr="00767D63">
        <w:t xml:space="preserve"> года площадь сельскохозяйственных угодий на территории МО ГО «Сыктывкар» составляет 50</w:t>
      </w:r>
      <w:r w:rsidR="00AD3C53" w:rsidRPr="00767D63">
        <w:t xml:space="preserve"> </w:t>
      </w:r>
      <w:r w:rsidR="00361F58" w:rsidRPr="00767D63">
        <w:t>56</w:t>
      </w:r>
      <w:r w:rsidRPr="00767D63">
        <w:t xml:space="preserve"> га, в том числе пашни 451 га.</w:t>
      </w:r>
    </w:p>
    <w:p w:rsidR="00A25F52" w:rsidRPr="00767D63" w:rsidRDefault="00D61D58" w:rsidP="008038E7">
      <w:pPr>
        <w:ind w:firstLine="567"/>
        <w:jc w:val="both"/>
      </w:pPr>
      <w:r w:rsidRPr="00767D63">
        <w:t>В сфере агропромышленного комплекса на территории города действу</w:t>
      </w:r>
      <w:r w:rsidR="00A25F52" w:rsidRPr="00767D63">
        <w:t>е</w:t>
      </w:r>
      <w:r w:rsidRPr="00767D63">
        <w:t>т 2</w:t>
      </w:r>
      <w:r w:rsidR="00A25F52" w:rsidRPr="00767D63">
        <w:t>1</w:t>
      </w:r>
      <w:r w:rsidRPr="00767D63">
        <w:t xml:space="preserve">  организаци</w:t>
      </w:r>
      <w:r w:rsidR="00A25F52" w:rsidRPr="00767D63">
        <w:t>я: в сельском хозяйстве – 4, в производстве пищевых продуктов – 7, в сфере предоставления услуг – 10.</w:t>
      </w:r>
      <w:r w:rsidRPr="00767D63">
        <w:t xml:space="preserve"> </w:t>
      </w:r>
      <w:r w:rsidR="00A25F52" w:rsidRPr="00767D63">
        <w:t>Удельный вес городского округа в структуре продукции сельского хозяйства по муниципальным образованиям составляет 6%. На территории города зарегистрировано одно сельскохозяйственное предприятие – ООО «Пригородный», которое имеет статус племенного репродуктора по холмогорской породе крупного рогатого скота.</w:t>
      </w:r>
    </w:p>
    <w:p w:rsidR="00622D82" w:rsidRPr="00767D63" w:rsidRDefault="00A25F52" w:rsidP="008038E7">
      <w:pPr>
        <w:ind w:firstLine="567"/>
        <w:jc w:val="both"/>
        <w:rPr>
          <w:highlight w:val="yellow"/>
        </w:rPr>
      </w:pPr>
      <w:r w:rsidRPr="00767D63">
        <w:t xml:space="preserve"> </w:t>
      </w:r>
      <w:r w:rsidR="00622D82" w:rsidRPr="00767D63">
        <w:t>Доля прибыльных сельскохозяйственных организаций в 20</w:t>
      </w:r>
      <w:r w:rsidRPr="00767D63">
        <w:t>20</w:t>
      </w:r>
      <w:r w:rsidR="00622D82" w:rsidRPr="00767D63">
        <w:t xml:space="preserve"> году составила </w:t>
      </w:r>
      <w:r w:rsidR="00D61D58" w:rsidRPr="00767D63">
        <w:t>100</w:t>
      </w:r>
      <w:r w:rsidR="00622D82" w:rsidRPr="00767D63">
        <w:t>%</w:t>
      </w:r>
      <w:r w:rsidR="00CD2130" w:rsidRPr="00767D63">
        <w:t xml:space="preserve"> (2018г. – 60%)</w:t>
      </w:r>
      <w:r w:rsidR="00622D82" w:rsidRPr="00767D63">
        <w:t>.</w:t>
      </w:r>
      <w:r w:rsidRPr="00767D63">
        <w:t xml:space="preserve"> </w:t>
      </w:r>
      <w:r w:rsidR="00CD2130" w:rsidRPr="00767D63">
        <w:t>Учитывая</w:t>
      </w:r>
      <w:r w:rsidR="00622D82" w:rsidRPr="00767D63">
        <w:t xml:space="preserve"> сложностью природно-климатических условий Севера</w:t>
      </w:r>
      <w:r w:rsidR="00CD2130" w:rsidRPr="00767D63">
        <w:t>, в</w:t>
      </w:r>
      <w:r w:rsidR="00622D82" w:rsidRPr="00767D63">
        <w:t xml:space="preserve"> плановом периоде ставится задача по сохранению деятельности предприя</w:t>
      </w:r>
      <w:r w:rsidR="00CD2130" w:rsidRPr="00767D63">
        <w:t>тий и</w:t>
      </w:r>
      <w:r w:rsidR="00622D82" w:rsidRPr="00767D63">
        <w:t xml:space="preserve"> значению показателя н</w:t>
      </w:r>
      <w:r w:rsidR="00CD2130" w:rsidRPr="00767D63">
        <w:t>е ниже</w:t>
      </w:r>
      <w:r w:rsidR="00622D82" w:rsidRPr="00767D63">
        <w:t xml:space="preserve"> уровн</w:t>
      </w:r>
      <w:r w:rsidR="00CD2130" w:rsidRPr="00767D63">
        <w:t>я</w:t>
      </w:r>
      <w:r w:rsidR="00622D82" w:rsidRPr="00767D63">
        <w:t xml:space="preserve"> 2018 года.  </w:t>
      </w:r>
    </w:p>
    <w:p w:rsidR="00622D82" w:rsidRPr="00767D63" w:rsidRDefault="00602962" w:rsidP="008038E7">
      <w:pPr>
        <w:tabs>
          <w:tab w:val="center" w:pos="7632"/>
        </w:tabs>
        <w:ind w:right="72" w:firstLine="567"/>
        <w:jc w:val="both"/>
      </w:pPr>
      <w:r w:rsidRPr="00767D63">
        <w:t xml:space="preserve">Важным моментом пополнения бюджета города является грамотное управление ресурсами и создание условий для развития инфраструктуры. </w:t>
      </w:r>
    </w:p>
    <w:p w:rsidR="002D4DC6" w:rsidRPr="00767D63" w:rsidRDefault="002C70A5" w:rsidP="008038E7">
      <w:pPr>
        <w:tabs>
          <w:tab w:val="center" w:pos="7632"/>
        </w:tabs>
        <w:ind w:right="72" w:firstLine="567"/>
        <w:jc w:val="both"/>
      </w:pPr>
      <w:r w:rsidRPr="00767D63">
        <w:t xml:space="preserve">Значение </w:t>
      </w:r>
      <w:r w:rsidR="003013FB" w:rsidRPr="00767D63">
        <w:t>показателя «</w:t>
      </w:r>
      <w:r w:rsidR="00602962" w:rsidRPr="00767D63">
        <w:rPr>
          <w:i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3013FB" w:rsidRPr="00767D63">
        <w:t>» в 20</w:t>
      </w:r>
      <w:r w:rsidR="00EA7FC6" w:rsidRPr="00767D63">
        <w:t>20</w:t>
      </w:r>
      <w:r w:rsidR="003013FB" w:rsidRPr="00767D63">
        <w:t xml:space="preserve"> году </w:t>
      </w:r>
      <w:r w:rsidRPr="00767D63">
        <w:t xml:space="preserve">и </w:t>
      </w:r>
      <w:r w:rsidR="00412D06" w:rsidRPr="00767D63">
        <w:t>в</w:t>
      </w:r>
      <w:r w:rsidRPr="00767D63">
        <w:t xml:space="preserve"> планов</w:t>
      </w:r>
      <w:r w:rsidR="00412D06" w:rsidRPr="00767D63">
        <w:t>ом</w:t>
      </w:r>
      <w:r w:rsidRPr="00767D63">
        <w:t xml:space="preserve"> период</w:t>
      </w:r>
      <w:r w:rsidR="00412D06" w:rsidRPr="00767D63">
        <w:t>е</w:t>
      </w:r>
      <w:r w:rsidRPr="00767D63">
        <w:t xml:space="preserve"> остается на уровне 201</w:t>
      </w:r>
      <w:r w:rsidR="00EA7FC6" w:rsidRPr="00767D63">
        <w:t>9</w:t>
      </w:r>
      <w:r w:rsidRPr="00767D63">
        <w:t xml:space="preserve"> года</w:t>
      </w:r>
      <w:r w:rsidR="00412D06" w:rsidRPr="00767D63">
        <w:t xml:space="preserve"> и составляет 53%</w:t>
      </w:r>
      <w:r w:rsidR="00BE5D7B" w:rsidRPr="00767D63">
        <w:t>.</w:t>
      </w:r>
      <w:r w:rsidRPr="00767D63">
        <w:t xml:space="preserve"> </w:t>
      </w:r>
      <w:r w:rsidR="00597758" w:rsidRPr="00767D63">
        <w:t>Данный показатель не подлежит увеличению, т</w:t>
      </w:r>
      <w:r w:rsidR="00BE5D7B" w:rsidRPr="00767D63">
        <w:t xml:space="preserve">ак как </w:t>
      </w:r>
      <w:r w:rsidR="00597758" w:rsidRPr="00767D63">
        <w:t xml:space="preserve">является максимальным значением. В соответствии с составом земель города Сыктывкара 47% земель не облагаются земельным налогом (земли лесного фонда, земли запаса, земли </w:t>
      </w:r>
      <w:r w:rsidR="00BE5D7B" w:rsidRPr="00767D63">
        <w:t>под военными</w:t>
      </w:r>
      <w:r w:rsidR="00597758" w:rsidRPr="00767D63">
        <w:t xml:space="preserve"> </w:t>
      </w:r>
      <w:r w:rsidR="00BE5D7B" w:rsidRPr="00767D63">
        <w:t>объектами и</w:t>
      </w:r>
      <w:r w:rsidR="00597758" w:rsidRPr="00767D63">
        <w:t xml:space="preserve"> иными режимными территориями, городские леса, парки, сады).</w:t>
      </w:r>
    </w:p>
    <w:p w:rsidR="001B349A" w:rsidRPr="00EB32E8" w:rsidRDefault="00602962" w:rsidP="008038E7">
      <w:pPr>
        <w:tabs>
          <w:tab w:val="center" w:pos="7632"/>
        </w:tabs>
        <w:ind w:right="72" w:firstLine="567"/>
        <w:jc w:val="both"/>
      </w:pPr>
      <w:r w:rsidRPr="00EB32E8">
        <w:t>В 20</w:t>
      </w:r>
      <w:r w:rsidR="002F4961" w:rsidRPr="00EB32E8">
        <w:t>20</w:t>
      </w:r>
      <w:r w:rsidRPr="00EB32E8">
        <w:t xml:space="preserve"> году значения показателя </w:t>
      </w:r>
      <w:r w:rsidRPr="00EB32E8">
        <w:rPr>
          <w:i/>
        </w:rPr>
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</w:r>
      <w:r w:rsidR="002F4961" w:rsidRPr="00EB32E8">
        <w:rPr>
          <w:i/>
        </w:rPr>
        <w:t xml:space="preserve"> </w:t>
      </w:r>
      <w:r w:rsidR="002F4961" w:rsidRPr="00EB32E8">
        <w:t>сложилось на уровне 28,10%</w:t>
      </w:r>
      <w:r w:rsidR="00C5651C" w:rsidRPr="00EB32E8">
        <w:rPr>
          <w:i/>
        </w:rPr>
        <w:t xml:space="preserve">. </w:t>
      </w:r>
      <w:r w:rsidRPr="00EB32E8">
        <w:rPr>
          <w:i/>
        </w:rPr>
        <w:t xml:space="preserve"> </w:t>
      </w:r>
      <w:r w:rsidRPr="00EB32E8">
        <w:t xml:space="preserve"> </w:t>
      </w:r>
    </w:p>
    <w:p w:rsidR="00951656" w:rsidRPr="00EB32E8" w:rsidRDefault="00951656" w:rsidP="00951656">
      <w:pPr>
        <w:tabs>
          <w:tab w:val="center" w:pos="7632"/>
        </w:tabs>
        <w:ind w:right="72" w:firstLine="567"/>
        <w:jc w:val="both"/>
      </w:pPr>
      <w:r w:rsidRPr="00EB32E8">
        <w:t>В 2020 году на территории МО ГО «Сыктывкар» продолжена реализация национального проекта «Безопасные и качественные автомобильные дороги».</w:t>
      </w:r>
    </w:p>
    <w:p w:rsidR="00951656" w:rsidRPr="00EB32E8" w:rsidRDefault="00951656" w:rsidP="00951656">
      <w:pPr>
        <w:tabs>
          <w:tab w:val="center" w:pos="7632"/>
        </w:tabs>
        <w:ind w:right="72" w:firstLine="567"/>
        <w:jc w:val="both"/>
      </w:pPr>
      <w:r w:rsidRPr="00EB32E8">
        <w:t xml:space="preserve">В рамках национального проекта за счет средств федерального бюджета в размере 420 126,8 тыс. руб. было отремонтировано 33 улицы и </w:t>
      </w:r>
      <w:r w:rsidR="009B268E" w:rsidRPr="00EB32E8">
        <w:t>5</w:t>
      </w:r>
      <w:r w:rsidR="003A529B" w:rsidRPr="00EB32E8">
        <w:t xml:space="preserve"> </w:t>
      </w:r>
      <w:r w:rsidRPr="00EB32E8">
        <w:t xml:space="preserve">автомобильных дорог (26,88 км)   (в 2019 году- 20 улиц и </w:t>
      </w:r>
      <w:r w:rsidR="009B268E" w:rsidRPr="00EB32E8">
        <w:t xml:space="preserve">3 </w:t>
      </w:r>
      <w:r w:rsidRPr="00EB32E8">
        <w:t>автомобильные дороги).</w:t>
      </w:r>
    </w:p>
    <w:p w:rsidR="00951656" w:rsidRPr="00EB32E8" w:rsidRDefault="00951656" w:rsidP="00951656">
      <w:pPr>
        <w:tabs>
          <w:tab w:val="center" w:pos="7632"/>
        </w:tabs>
        <w:ind w:right="72" w:firstLine="567"/>
        <w:jc w:val="both"/>
      </w:pPr>
      <w:proofErr w:type="gramStart"/>
      <w:r w:rsidRPr="00EB32E8">
        <w:t xml:space="preserve">За счет средств Гранта, предоставленного победителям конкурса на право проведения мероприятий, в рамках празднования дня образования Республики Коми (средства республиканского бюджета) в 2020 году была отремонтирована  автомобильная дорога </w:t>
      </w:r>
      <w:r w:rsidRPr="00EB32E8">
        <w:lastRenderedPageBreak/>
        <w:t>«Подъезд к м. Красная Гора» и Октябрьский пр-т (ул. Красных Партизан до ул. Орджоникидзе) общей площадью 13 490 кв. м, в размере 23 484,5 тыс. руб.</w:t>
      </w:r>
      <w:proofErr w:type="gramEnd"/>
    </w:p>
    <w:p w:rsidR="00951656" w:rsidRPr="00EB32E8" w:rsidRDefault="00951656" w:rsidP="00951656">
      <w:pPr>
        <w:tabs>
          <w:tab w:val="center" w:pos="7632"/>
        </w:tabs>
        <w:ind w:right="72" w:firstLine="567"/>
        <w:jc w:val="both"/>
      </w:pPr>
      <w:r w:rsidRPr="00EB32E8">
        <w:t>Дополнительно, за счет средств местного бюджета выполнен ремонт автомобильных дорог, улиц на территории МО ГО «Сыктывкар» общей площадью 3 382,52 кв. м.: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 xml:space="preserve">автомобильная дорога «Сыктывкар - </w:t>
      </w:r>
      <w:proofErr w:type="spellStart"/>
      <w:r w:rsidRPr="00EB32E8">
        <w:rPr>
          <w:rFonts w:ascii="Times New Roman" w:hAnsi="Times New Roman"/>
          <w:sz w:val="24"/>
          <w:szCs w:val="24"/>
        </w:rPr>
        <w:t>Эжвинский</w:t>
      </w:r>
      <w:proofErr w:type="spellEnd"/>
      <w:r w:rsidRPr="00EB32E8">
        <w:rPr>
          <w:rFonts w:ascii="Times New Roman" w:hAnsi="Times New Roman"/>
          <w:sz w:val="24"/>
          <w:szCs w:val="24"/>
        </w:rPr>
        <w:t xml:space="preserve"> район»,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 xml:space="preserve">автомобильная дорога «Подъезд к п. Верхний </w:t>
      </w:r>
      <w:proofErr w:type="spellStart"/>
      <w:r w:rsidRPr="00EB32E8">
        <w:rPr>
          <w:rFonts w:ascii="Times New Roman" w:hAnsi="Times New Roman"/>
          <w:sz w:val="24"/>
          <w:szCs w:val="24"/>
        </w:rPr>
        <w:t>Чов</w:t>
      </w:r>
      <w:proofErr w:type="spellEnd"/>
      <w:r w:rsidRPr="00EB32E8">
        <w:rPr>
          <w:rFonts w:ascii="Times New Roman" w:hAnsi="Times New Roman"/>
          <w:sz w:val="24"/>
          <w:szCs w:val="24"/>
        </w:rPr>
        <w:t xml:space="preserve">», </w:t>
      </w:r>
      <w:r w:rsidR="00693058" w:rsidRPr="00EB32E8">
        <w:rPr>
          <w:rFonts w:ascii="Times New Roman" w:hAnsi="Times New Roman"/>
          <w:sz w:val="24"/>
          <w:szCs w:val="24"/>
        </w:rPr>
        <w:t>(ремонт «</w:t>
      </w:r>
      <w:proofErr w:type="spellStart"/>
      <w:r w:rsidR="00693058" w:rsidRPr="00EB32E8">
        <w:rPr>
          <w:rFonts w:ascii="Times New Roman" w:hAnsi="Times New Roman"/>
          <w:sz w:val="24"/>
          <w:szCs w:val="24"/>
        </w:rPr>
        <w:t>пневмонабрызгом</w:t>
      </w:r>
      <w:proofErr w:type="spellEnd"/>
      <w:r w:rsidR="00693058" w:rsidRPr="00EB32E8">
        <w:rPr>
          <w:rFonts w:ascii="Times New Roman" w:hAnsi="Times New Roman"/>
          <w:sz w:val="24"/>
          <w:szCs w:val="24"/>
        </w:rPr>
        <w:t>»)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>автомобильная дорога «Подъезд к промышленному узлу «</w:t>
      </w:r>
      <w:proofErr w:type="spellStart"/>
      <w:r w:rsidRPr="00EB32E8">
        <w:rPr>
          <w:rFonts w:ascii="Times New Roman" w:hAnsi="Times New Roman"/>
          <w:sz w:val="24"/>
          <w:szCs w:val="24"/>
        </w:rPr>
        <w:t>Човский</w:t>
      </w:r>
      <w:proofErr w:type="spellEnd"/>
      <w:r w:rsidRPr="00EB32E8">
        <w:rPr>
          <w:rFonts w:ascii="Times New Roman" w:hAnsi="Times New Roman"/>
          <w:sz w:val="24"/>
          <w:szCs w:val="24"/>
        </w:rPr>
        <w:t>»,</w:t>
      </w:r>
      <w:r w:rsidR="00693058" w:rsidRPr="00EB32E8">
        <w:t xml:space="preserve"> </w:t>
      </w:r>
      <w:r w:rsidR="00693058" w:rsidRPr="00EB32E8">
        <w:rPr>
          <w:rFonts w:ascii="Times New Roman" w:hAnsi="Times New Roman"/>
          <w:sz w:val="24"/>
          <w:szCs w:val="24"/>
        </w:rPr>
        <w:t>(ремонт «</w:t>
      </w:r>
      <w:proofErr w:type="spellStart"/>
      <w:r w:rsidR="00693058" w:rsidRPr="00EB32E8">
        <w:rPr>
          <w:rFonts w:ascii="Times New Roman" w:hAnsi="Times New Roman"/>
          <w:sz w:val="24"/>
          <w:szCs w:val="24"/>
        </w:rPr>
        <w:t>пневмонабрызгом</w:t>
      </w:r>
      <w:proofErr w:type="spellEnd"/>
      <w:r w:rsidR="00693058" w:rsidRPr="00EB32E8">
        <w:rPr>
          <w:rFonts w:ascii="Times New Roman" w:hAnsi="Times New Roman"/>
          <w:sz w:val="24"/>
          <w:szCs w:val="24"/>
        </w:rPr>
        <w:t>»</w:t>
      </w:r>
      <w:proofErr w:type="gramStart"/>
      <w:r w:rsidR="00693058" w:rsidRPr="00EB32E8">
        <w:rPr>
          <w:rFonts w:ascii="Times New Roman" w:hAnsi="Times New Roman"/>
          <w:sz w:val="24"/>
          <w:szCs w:val="24"/>
        </w:rPr>
        <w:t>,р</w:t>
      </w:r>
      <w:proofErr w:type="gramEnd"/>
      <w:r w:rsidR="00693058" w:rsidRPr="00EB32E8">
        <w:rPr>
          <w:rFonts w:ascii="Times New Roman" w:hAnsi="Times New Roman"/>
          <w:sz w:val="24"/>
          <w:szCs w:val="24"/>
        </w:rPr>
        <w:t>емонт щебнем)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>автомобильная дорога «Подъе</w:t>
      </w:r>
      <w:proofErr w:type="gramStart"/>
      <w:r w:rsidRPr="00EB32E8">
        <w:rPr>
          <w:rFonts w:ascii="Times New Roman" w:hAnsi="Times New Roman"/>
          <w:sz w:val="24"/>
          <w:szCs w:val="24"/>
        </w:rPr>
        <w:t>зд к пр</w:t>
      </w:r>
      <w:proofErr w:type="gramEnd"/>
      <w:r w:rsidRPr="00EB32E8">
        <w:rPr>
          <w:rFonts w:ascii="Times New Roman" w:hAnsi="Times New Roman"/>
          <w:sz w:val="24"/>
          <w:szCs w:val="24"/>
        </w:rPr>
        <w:t>омышленному узлу «</w:t>
      </w:r>
      <w:proofErr w:type="spellStart"/>
      <w:r w:rsidRPr="00EB32E8">
        <w:rPr>
          <w:rFonts w:ascii="Times New Roman" w:hAnsi="Times New Roman"/>
          <w:sz w:val="24"/>
          <w:szCs w:val="24"/>
        </w:rPr>
        <w:t>Дырносский</w:t>
      </w:r>
      <w:proofErr w:type="spellEnd"/>
      <w:r w:rsidRPr="00EB32E8">
        <w:rPr>
          <w:rFonts w:ascii="Times New Roman" w:hAnsi="Times New Roman"/>
          <w:sz w:val="24"/>
          <w:szCs w:val="24"/>
        </w:rPr>
        <w:t>,</w:t>
      </w:r>
      <w:r w:rsidR="00693058" w:rsidRPr="00EB32E8">
        <w:rPr>
          <w:rFonts w:ascii="Times New Roman" w:hAnsi="Times New Roman"/>
          <w:sz w:val="24"/>
          <w:szCs w:val="24"/>
        </w:rPr>
        <w:t xml:space="preserve"> (ремонт «</w:t>
      </w:r>
      <w:proofErr w:type="spellStart"/>
      <w:r w:rsidR="00693058" w:rsidRPr="00EB32E8">
        <w:rPr>
          <w:rFonts w:ascii="Times New Roman" w:hAnsi="Times New Roman"/>
          <w:sz w:val="24"/>
          <w:szCs w:val="24"/>
        </w:rPr>
        <w:t>пневмонабрызгом</w:t>
      </w:r>
      <w:proofErr w:type="spellEnd"/>
      <w:r w:rsidR="00693058" w:rsidRPr="00EB32E8">
        <w:rPr>
          <w:rFonts w:ascii="Times New Roman" w:hAnsi="Times New Roman"/>
          <w:sz w:val="24"/>
          <w:szCs w:val="24"/>
        </w:rPr>
        <w:t>»)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 xml:space="preserve">автомобильная дорога «Подъезд к паромной переправе через р. </w:t>
      </w:r>
      <w:proofErr w:type="spellStart"/>
      <w:r w:rsidRPr="00EB32E8">
        <w:rPr>
          <w:rFonts w:ascii="Times New Roman" w:hAnsi="Times New Roman"/>
          <w:sz w:val="24"/>
          <w:szCs w:val="24"/>
        </w:rPr>
        <w:t>Вычегда</w:t>
      </w:r>
      <w:proofErr w:type="spellEnd"/>
      <w:r w:rsidRPr="00EB32E8">
        <w:rPr>
          <w:rFonts w:ascii="Times New Roman" w:hAnsi="Times New Roman"/>
          <w:sz w:val="24"/>
          <w:szCs w:val="24"/>
        </w:rPr>
        <w:t xml:space="preserve"> у м. Алешино», </w:t>
      </w:r>
      <w:r w:rsidR="00693058" w:rsidRPr="00EB32E8">
        <w:rPr>
          <w:rFonts w:ascii="Times New Roman" w:hAnsi="Times New Roman"/>
          <w:sz w:val="24"/>
          <w:szCs w:val="24"/>
        </w:rPr>
        <w:t>(ремонт «</w:t>
      </w:r>
      <w:proofErr w:type="spellStart"/>
      <w:r w:rsidR="00693058" w:rsidRPr="00EB32E8">
        <w:rPr>
          <w:rFonts w:ascii="Times New Roman" w:hAnsi="Times New Roman"/>
          <w:sz w:val="24"/>
          <w:szCs w:val="24"/>
        </w:rPr>
        <w:t>пневмонабрызгом</w:t>
      </w:r>
      <w:proofErr w:type="spellEnd"/>
      <w:r w:rsidR="00693058" w:rsidRPr="00EB32E8">
        <w:rPr>
          <w:rFonts w:ascii="Times New Roman" w:hAnsi="Times New Roman"/>
          <w:sz w:val="24"/>
          <w:szCs w:val="24"/>
        </w:rPr>
        <w:t>»)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 xml:space="preserve">пешеходный тротуар по ул. </w:t>
      </w:r>
      <w:proofErr w:type="spellStart"/>
      <w:r w:rsidRPr="00EB32E8">
        <w:rPr>
          <w:rFonts w:ascii="Times New Roman" w:hAnsi="Times New Roman"/>
          <w:sz w:val="24"/>
          <w:szCs w:val="24"/>
        </w:rPr>
        <w:t>Красноборской</w:t>
      </w:r>
      <w:proofErr w:type="spellEnd"/>
      <w:r w:rsidRPr="00EB32E8">
        <w:rPr>
          <w:rFonts w:ascii="Times New Roman" w:hAnsi="Times New Roman"/>
          <w:sz w:val="24"/>
          <w:szCs w:val="24"/>
        </w:rPr>
        <w:t xml:space="preserve"> от ул. Большой до ул. </w:t>
      </w:r>
      <w:proofErr w:type="gramStart"/>
      <w:r w:rsidRPr="00EB32E8">
        <w:rPr>
          <w:rFonts w:ascii="Times New Roman" w:hAnsi="Times New Roman"/>
          <w:sz w:val="24"/>
          <w:szCs w:val="24"/>
        </w:rPr>
        <w:t>Снежной</w:t>
      </w:r>
      <w:proofErr w:type="gramEnd"/>
      <w:r w:rsidRPr="00EB32E8">
        <w:rPr>
          <w:rFonts w:ascii="Times New Roman" w:hAnsi="Times New Roman"/>
          <w:sz w:val="24"/>
          <w:szCs w:val="24"/>
        </w:rPr>
        <w:t xml:space="preserve">, 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spacing w:after="0"/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>тротуар от остановочного комплекса «</w:t>
      </w:r>
      <w:proofErr w:type="spellStart"/>
      <w:r w:rsidRPr="00EB32E8">
        <w:rPr>
          <w:rFonts w:ascii="Times New Roman" w:hAnsi="Times New Roman"/>
          <w:sz w:val="24"/>
          <w:szCs w:val="24"/>
        </w:rPr>
        <w:t>Водобашня</w:t>
      </w:r>
      <w:proofErr w:type="spellEnd"/>
      <w:r w:rsidRPr="00EB32E8">
        <w:rPr>
          <w:rFonts w:ascii="Times New Roman" w:hAnsi="Times New Roman"/>
          <w:sz w:val="24"/>
          <w:szCs w:val="24"/>
        </w:rPr>
        <w:t xml:space="preserve">», четная сторона, начиная с заезда на остановочный комплекс, до здания по адресу: ул. Школьная, № 2/4, </w:t>
      </w:r>
    </w:p>
    <w:p w:rsidR="00951656" w:rsidRPr="00EB32E8" w:rsidRDefault="00951656" w:rsidP="00495C98">
      <w:pPr>
        <w:pStyle w:val="a9"/>
        <w:numPr>
          <w:ilvl w:val="0"/>
          <w:numId w:val="4"/>
        </w:numPr>
        <w:tabs>
          <w:tab w:val="left" w:pos="709"/>
          <w:tab w:val="center" w:pos="7632"/>
        </w:tabs>
        <w:spacing w:after="0"/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EB32E8">
        <w:rPr>
          <w:rFonts w:ascii="Times New Roman" w:hAnsi="Times New Roman"/>
          <w:sz w:val="24"/>
          <w:szCs w:val="24"/>
        </w:rPr>
        <w:t xml:space="preserve">подъезд к детскому саду в </w:t>
      </w:r>
      <w:proofErr w:type="spellStart"/>
      <w:r w:rsidRPr="00EB32E8">
        <w:rPr>
          <w:rFonts w:ascii="Times New Roman" w:hAnsi="Times New Roman"/>
          <w:sz w:val="24"/>
          <w:szCs w:val="24"/>
        </w:rPr>
        <w:t>мкр</w:t>
      </w:r>
      <w:proofErr w:type="spellEnd"/>
      <w:r w:rsidRPr="00EB32E8">
        <w:rPr>
          <w:rFonts w:ascii="Times New Roman" w:hAnsi="Times New Roman"/>
          <w:sz w:val="24"/>
          <w:szCs w:val="24"/>
        </w:rPr>
        <w:t>. Орбита, ул. Петрозаводская (в районе ул. Петрозаводская, 4).</w:t>
      </w:r>
    </w:p>
    <w:p w:rsidR="00CF60C2" w:rsidRPr="00EB32E8" w:rsidRDefault="00CF60C2" w:rsidP="00951656">
      <w:pPr>
        <w:tabs>
          <w:tab w:val="center" w:pos="7632"/>
        </w:tabs>
        <w:ind w:right="72" w:firstLine="567"/>
        <w:jc w:val="both"/>
      </w:pPr>
      <w:r w:rsidRPr="00EB32E8">
        <w:t xml:space="preserve">Показатели </w:t>
      </w:r>
      <w:r w:rsidR="000D0754" w:rsidRPr="00EB32E8">
        <w:t>на 20</w:t>
      </w:r>
      <w:r w:rsidR="00BE3349" w:rsidRPr="00EB32E8">
        <w:t>2</w:t>
      </w:r>
      <w:r w:rsidR="002F4961" w:rsidRPr="00EB32E8">
        <w:t>1</w:t>
      </w:r>
      <w:r w:rsidR="000D0754" w:rsidRPr="00EB32E8">
        <w:t>-202</w:t>
      </w:r>
      <w:r w:rsidR="002F4961" w:rsidRPr="00EB32E8">
        <w:t>3</w:t>
      </w:r>
      <w:r w:rsidR="000D0754" w:rsidRPr="00EB32E8">
        <w:t xml:space="preserve"> годы </w:t>
      </w:r>
      <w:r w:rsidRPr="00EB32E8">
        <w:t xml:space="preserve">планируются </w:t>
      </w:r>
      <w:r w:rsidR="000D0754" w:rsidRPr="00EB32E8">
        <w:t>исходя из</w:t>
      </w:r>
      <w:r w:rsidRPr="00EB32E8">
        <w:t xml:space="preserve"> данных о финансировании </w:t>
      </w:r>
      <w:r w:rsidR="000D0754" w:rsidRPr="00EB32E8">
        <w:t xml:space="preserve">мероприятий по ремонту дорог за счет </w:t>
      </w:r>
      <w:r w:rsidR="001C1D24" w:rsidRPr="00EB32E8">
        <w:t>средств</w:t>
      </w:r>
      <w:r w:rsidRPr="00EB32E8">
        <w:t xml:space="preserve"> бюджета МО ГО «Сыктывкар»</w:t>
      </w:r>
      <w:r w:rsidR="003C065E" w:rsidRPr="00EB32E8">
        <w:t>, а также реализации национального приоритетного проекта «Безопасные качественные дороги».</w:t>
      </w:r>
    </w:p>
    <w:p w:rsidR="00693058" w:rsidRPr="00EB32E8" w:rsidRDefault="00693058" w:rsidP="00951656">
      <w:pPr>
        <w:tabs>
          <w:tab w:val="center" w:pos="7632"/>
        </w:tabs>
        <w:ind w:right="72" w:firstLine="567"/>
        <w:jc w:val="both"/>
      </w:pPr>
      <w:r w:rsidRPr="00EB32E8">
        <w:t xml:space="preserve">На 2021 год за счет средств федерального бюджета запланировано </w:t>
      </w:r>
      <w:r w:rsidR="002E6383">
        <w:t>–</w:t>
      </w:r>
      <w:r w:rsidRPr="00EB32E8">
        <w:t xml:space="preserve"> 390</w:t>
      </w:r>
      <w:r w:rsidR="002E6383">
        <w:t xml:space="preserve"> </w:t>
      </w:r>
      <w:r w:rsidRPr="00EB32E8">
        <w:t>072,8</w:t>
      </w:r>
      <w:r w:rsidR="002E6383">
        <w:t xml:space="preserve"> </w:t>
      </w:r>
      <w:r w:rsidRPr="00EB32E8">
        <w:t>тыс. рублей.</w:t>
      </w:r>
    </w:p>
    <w:p w:rsidR="000D0754" w:rsidRPr="00EB32E8" w:rsidRDefault="00412D06" w:rsidP="008038E7">
      <w:pPr>
        <w:ind w:firstLine="567"/>
        <w:jc w:val="both"/>
      </w:pPr>
      <w:proofErr w:type="gramStart"/>
      <w:r w:rsidRPr="00EB32E8">
        <w:t>Значение показателя «</w:t>
      </w:r>
      <w:r w:rsidR="000D0754" w:rsidRPr="00EB32E8">
        <w:rPr>
          <w:i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EB32E8">
        <w:rPr>
          <w:i/>
        </w:rPr>
        <w:t>»</w:t>
      </w:r>
      <w:r w:rsidRPr="00EB32E8">
        <w:t xml:space="preserve"> в 20</w:t>
      </w:r>
      <w:r w:rsidR="002F4961" w:rsidRPr="00EB32E8">
        <w:t>20</w:t>
      </w:r>
      <w:r w:rsidRPr="00EB32E8">
        <w:t xml:space="preserve"> году</w:t>
      </w:r>
      <w:r w:rsidR="009573D3" w:rsidRPr="00EB32E8">
        <w:t xml:space="preserve"> составило 0,</w:t>
      </w:r>
      <w:r w:rsidR="000D0754" w:rsidRPr="00EB32E8">
        <w:t xml:space="preserve">2%, что </w:t>
      </w:r>
      <w:r w:rsidR="00DB13DF" w:rsidRPr="00EB32E8">
        <w:t>соответствует уровню 201</w:t>
      </w:r>
      <w:r w:rsidR="002F4961" w:rsidRPr="00EB32E8">
        <w:t>9</w:t>
      </w:r>
      <w:r w:rsidR="003812AD">
        <w:t xml:space="preserve"> </w:t>
      </w:r>
      <w:r w:rsidR="00DB13DF" w:rsidRPr="00EB32E8">
        <w:t>г.</w:t>
      </w:r>
      <w:r w:rsidR="000D0754" w:rsidRPr="00EB32E8">
        <w:t xml:space="preserve"> В плановом периоде планируется сохранить обеспеченность </w:t>
      </w:r>
      <w:r w:rsidR="00DB13DF" w:rsidRPr="00EB32E8">
        <w:t>населенных пунктов</w:t>
      </w:r>
      <w:r w:rsidR="000D0754" w:rsidRPr="00EB32E8">
        <w:t xml:space="preserve"> доступностью сообщения. </w:t>
      </w:r>
      <w:proofErr w:type="gramEnd"/>
    </w:p>
    <w:p w:rsidR="004F0EA3" w:rsidRPr="00767D63" w:rsidRDefault="004F0EA3" w:rsidP="008038E7">
      <w:pPr>
        <w:ind w:firstLine="567"/>
        <w:jc w:val="both"/>
      </w:pPr>
      <w:r w:rsidRPr="00767D63">
        <w:t>В МО ГО «Сыктывкар» функционирует автомобильны</w:t>
      </w:r>
      <w:r w:rsidR="00DB13DF" w:rsidRPr="00767D63">
        <w:t>й, воздушный и желез</w:t>
      </w:r>
      <w:r w:rsidRPr="00767D63">
        <w:t xml:space="preserve">нодорожный транспорт. </w:t>
      </w:r>
    </w:p>
    <w:p w:rsidR="000C5CCF" w:rsidRPr="00767D63" w:rsidRDefault="002F4961" w:rsidP="008038E7">
      <w:pPr>
        <w:ind w:firstLine="567"/>
        <w:jc w:val="both"/>
      </w:pPr>
      <w:r w:rsidRPr="00767D63">
        <w:t xml:space="preserve">В 2020 г. перевезено по </w:t>
      </w:r>
      <w:r w:rsidR="00321C2C">
        <w:t xml:space="preserve">автомобильным </w:t>
      </w:r>
      <w:r w:rsidRPr="00767D63">
        <w:t xml:space="preserve">муниципальным маршрутам 18 727 тыс. пассажиров. </w:t>
      </w:r>
    </w:p>
    <w:p w:rsidR="000C5CCF" w:rsidRPr="00767D63" w:rsidRDefault="000C5CCF" w:rsidP="008038E7">
      <w:pPr>
        <w:ind w:firstLine="567"/>
        <w:jc w:val="both"/>
      </w:pPr>
      <w:r w:rsidRPr="00767D63">
        <w:t>В МО ГО «Сыктывкар» действуют следующие муниципальные маршруты: № 1  «Школа 33 - ТРЦ</w:t>
      </w:r>
      <w:proofErr w:type="gramStart"/>
      <w:r w:rsidRPr="00767D63">
        <w:t xml:space="preserve"> М</w:t>
      </w:r>
      <w:proofErr w:type="gramEnd"/>
      <w:r w:rsidRPr="00767D63">
        <w:t>акси»; № 3 «Аэровокзал - с/з Пригородный»; № 4  «Городской автовокзал - с/з Пригородный»;  № 5   «Городской автовокзал - Аэровокзал»;  № 6   «</w:t>
      </w:r>
      <w:proofErr w:type="spellStart"/>
      <w:r w:rsidRPr="00767D63">
        <w:t>Дырнос</w:t>
      </w:r>
      <w:proofErr w:type="spellEnd"/>
      <w:r w:rsidRPr="00767D63">
        <w:t xml:space="preserve"> - Росгосстрах»; № 7  «Городской автовокзал - Школа 33»; № 9  «Автостанция - Красная гора»; № 12  «СЛПК - автостанция»; № 15  «Городской автовокзал - с/з Пригородный»; № 17  «Кардиоцентр - с/з Пригородный»; № 18  «СЛПК -  Автостанция»; № 19  «Городской автовокзал - Строитель - Городской автовокзал»; № 20   «Опытная станция - </w:t>
      </w:r>
      <w:proofErr w:type="spellStart"/>
      <w:r w:rsidRPr="00767D63">
        <w:t>Дырнос</w:t>
      </w:r>
      <w:proofErr w:type="spellEnd"/>
      <w:r w:rsidRPr="00767D63">
        <w:t xml:space="preserve"> «; № 21   «СЛТ - Верхний </w:t>
      </w:r>
      <w:proofErr w:type="spellStart"/>
      <w:r w:rsidRPr="00767D63">
        <w:t>Чов</w:t>
      </w:r>
      <w:proofErr w:type="spellEnd"/>
      <w:r w:rsidRPr="00767D63">
        <w:t xml:space="preserve"> «; № 23   «Пл. </w:t>
      </w:r>
      <w:proofErr w:type="spellStart"/>
      <w:r w:rsidRPr="00767D63">
        <w:t>Габова</w:t>
      </w:r>
      <w:proofErr w:type="spellEnd"/>
      <w:r w:rsidRPr="00767D63">
        <w:t xml:space="preserve"> - </w:t>
      </w:r>
      <w:proofErr w:type="spellStart"/>
      <w:r w:rsidRPr="00767D63">
        <w:t>пгт</w:t>
      </w:r>
      <w:proofErr w:type="spellEnd"/>
      <w:r w:rsidRPr="00767D63">
        <w:t xml:space="preserve">. Краснозатонский «; № 23д  «т/б </w:t>
      </w:r>
      <w:proofErr w:type="spellStart"/>
      <w:r w:rsidRPr="00767D63">
        <w:t>Лемью</w:t>
      </w:r>
      <w:proofErr w:type="spellEnd"/>
      <w:r w:rsidRPr="00767D63">
        <w:t xml:space="preserve"> - ЦВК»; № 24   «Росгосстрах - Верхний </w:t>
      </w:r>
      <w:proofErr w:type="spellStart"/>
      <w:r w:rsidRPr="00767D63">
        <w:t>Чов</w:t>
      </w:r>
      <w:proofErr w:type="spellEnd"/>
      <w:r w:rsidRPr="00767D63">
        <w:t>»; № 25  «</w:t>
      </w:r>
      <w:proofErr w:type="spellStart"/>
      <w:r w:rsidRPr="00767D63">
        <w:t>пл</w:t>
      </w:r>
      <w:proofErr w:type="gramStart"/>
      <w:r w:rsidRPr="00767D63">
        <w:t>.Г</w:t>
      </w:r>
      <w:proofErr w:type="gramEnd"/>
      <w:r w:rsidRPr="00767D63">
        <w:t>абова</w:t>
      </w:r>
      <w:proofErr w:type="spellEnd"/>
      <w:r w:rsidRPr="00767D63">
        <w:t xml:space="preserve"> - Верхняя </w:t>
      </w:r>
      <w:proofErr w:type="spellStart"/>
      <w:r w:rsidRPr="00767D63">
        <w:t>Максаковка</w:t>
      </w:r>
      <w:proofErr w:type="spellEnd"/>
      <w:r w:rsidRPr="00767D63">
        <w:t xml:space="preserve">»;  № 26  «Автостанция - п. </w:t>
      </w:r>
      <w:proofErr w:type="spellStart"/>
      <w:r w:rsidRPr="00767D63">
        <w:t>Седкыркещ</w:t>
      </w:r>
      <w:proofErr w:type="spellEnd"/>
      <w:r w:rsidRPr="00767D63">
        <w:t xml:space="preserve">»; № 26а  «Автостанция - </w:t>
      </w:r>
      <w:proofErr w:type="spellStart"/>
      <w:r w:rsidRPr="00767D63">
        <w:t>Трехозерка</w:t>
      </w:r>
      <w:proofErr w:type="spellEnd"/>
      <w:r w:rsidRPr="00767D63">
        <w:t xml:space="preserve">»; № 28   «ул. 65 лет Победы - ТРЦ «Макси»; № 29  «Городской автовокзал -МФЦ»; № 29а   «Городской автовокзал - </w:t>
      </w:r>
      <w:proofErr w:type="spellStart"/>
      <w:r w:rsidRPr="00767D63">
        <w:t>м.Заречье</w:t>
      </w:r>
      <w:proofErr w:type="spellEnd"/>
      <w:r w:rsidRPr="00767D63">
        <w:t xml:space="preserve">»; № 30  «Ж/Д вокзал - Дырнос-3»; № 33а   «Городской автовокзал - СФЗ»; № 36  «Орбита - Дырнос-3»; № 38  «ул. </w:t>
      </w:r>
      <w:proofErr w:type="spellStart"/>
      <w:r w:rsidRPr="00767D63">
        <w:t>К.Маркса</w:t>
      </w:r>
      <w:proofErr w:type="spellEnd"/>
      <w:r w:rsidRPr="00767D63">
        <w:t xml:space="preserve"> - </w:t>
      </w:r>
      <w:proofErr w:type="gramStart"/>
      <w:r w:rsidRPr="00767D63">
        <w:t>общ</w:t>
      </w:r>
      <w:proofErr w:type="gramEnd"/>
      <w:r w:rsidRPr="00767D63">
        <w:t xml:space="preserve">. Дырнос-3»; № 44   «Городской автовокзал - ул. </w:t>
      </w:r>
      <w:proofErr w:type="spellStart"/>
      <w:r w:rsidRPr="00767D63">
        <w:t>Тентюковская</w:t>
      </w:r>
      <w:proofErr w:type="spellEnd"/>
      <w:r w:rsidRPr="00767D63">
        <w:t>»; № 46  «</w:t>
      </w:r>
      <w:proofErr w:type="spellStart"/>
      <w:r w:rsidRPr="00767D63">
        <w:t>Давпон</w:t>
      </w:r>
      <w:proofErr w:type="spellEnd"/>
      <w:r w:rsidRPr="00767D63">
        <w:t xml:space="preserve"> - Автостанция - </w:t>
      </w:r>
      <w:proofErr w:type="spellStart"/>
      <w:r w:rsidRPr="00767D63">
        <w:t>Давпон</w:t>
      </w:r>
      <w:proofErr w:type="spellEnd"/>
      <w:r w:rsidRPr="00767D63">
        <w:t xml:space="preserve">»; № 54  «Ж/Д вокзал </w:t>
      </w:r>
      <w:proofErr w:type="gramStart"/>
      <w:r w:rsidRPr="00767D63">
        <w:t>-у</w:t>
      </w:r>
      <w:proofErr w:type="gramEnd"/>
      <w:r w:rsidRPr="00767D63">
        <w:t xml:space="preserve">л. Славы»; № 55  «Ж/Д вокзал - Диагностический центр»; № 102 «Автостанция - </w:t>
      </w:r>
      <w:proofErr w:type="spellStart"/>
      <w:r w:rsidRPr="00767D63">
        <w:t>Максаковские</w:t>
      </w:r>
      <w:proofErr w:type="spellEnd"/>
      <w:r w:rsidRPr="00767D63">
        <w:t xml:space="preserve"> дачи»; № 103  «Автостанция - </w:t>
      </w:r>
      <w:proofErr w:type="spellStart"/>
      <w:r w:rsidRPr="00767D63">
        <w:t>Мырты</w:t>
      </w:r>
      <w:proofErr w:type="spellEnd"/>
      <w:r w:rsidRPr="00767D63">
        <w:t xml:space="preserve"> -Ю»; № 105  «Автостанция - общ. Здоровье»; № 109  «Ж/Д вокзал </w:t>
      </w:r>
      <w:proofErr w:type="gramStart"/>
      <w:r w:rsidRPr="00767D63">
        <w:t>-</w:t>
      </w:r>
      <w:proofErr w:type="spellStart"/>
      <w:r w:rsidRPr="00767D63">
        <w:t>М</w:t>
      </w:r>
      <w:proofErr w:type="gramEnd"/>
      <w:r w:rsidRPr="00767D63">
        <w:t>ырты</w:t>
      </w:r>
      <w:proofErr w:type="spellEnd"/>
      <w:r w:rsidRPr="00767D63">
        <w:t xml:space="preserve"> - Ю»; № 126 «Орбита - </w:t>
      </w:r>
      <w:proofErr w:type="spellStart"/>
      <w:r w:rsidRPr="00767D63">
        <w:t>Максаковские</w:t>
      </w:r>
      <w:proofErr w:type="spellEnd"/>
      <w:r w:rsidRPr="00767D63">
        <w:t xml:space="preserve"> дачи»; № 11 «ул. Славы - общ. </w:t>
      </w:r>
      <w:proofErr w:type="gramStart"/>
      <w:r w:rsidRPr="00767D63">
        <w:t>Панель»; № 13 «ул. Славы - СЛПК»; № 14 «Больничный комплекс - п. Строитель»; № 27 «СЛПК - ул. Славы».</w:t>
      </w:r>
      <w:proofErr w:type="gramEnd"/>
    </w:p>
    <w:p w:rsidR="002F4961" w:rsidRPr="00767D63" w:rsidRDefault="002F4961" w:rsidP="008038E7">
      <w:pPr>
        <w:ind w:firstLine="567"/>
        <w:jc w:val="both"/>
      </w:pPr>
      <w:r w:rsidRPr="00767D63">
        <w:t xml:space="preserve">Общее число задействованного транспорта на территории МО ГО Сыктывкар и </w:t>
      </w:r>
      <w:proofErr w:type="spellStart"/>
      <w:r w:rsidRPr="00767D63">
        <w:t>Эжвинского</w:t>
      </w:r>
      <w:proofErr w:type="spellEnd"/>
      <w:r w:rsidRPr="00767D63">
        <w:t xml:space="preserve"> района по муниципальным маршрутам составляло 278 единиц. Население города обслуживалось пятью крупными перевозчиками: </w:t>
      </w:r>
      <w:proofErr w:type="gramStart"/>
      <w:r w:rsidRPr="00767D63">
        <w:t xml:space="preserve">ООО «САТП №1 - 141 ед.; транспорта (20 </w:t>
      </w:r>
      <w:r w:rsidRPr="00767D63">
        <w:lastRenderedPageBreak/>
        <w:t xml:space="preserve">муниципальных маршрутов); Товарищество ИП - 89 ед. транспорта (11 муниципальных маршрутов); ООО «Пассажирские линии» - 18 ед. транспорта (2 муниципальных маршрутов) ИП Королева Т.В. - 11 ед. транспорта (5 муниципальных маршрутов, в </w:t>
      </w:r>
      <w:proofErr w:type="spellStart"/>
      <w:r w:rsidRPr="00767D63">
        <w:t>т.ч</w:t>
      </w:r>
      <w:proofErr w:type="spellEnd"/>
      <w:r w:rsidRPr="00767D63">
        <w:t>. 4 сезонных), ИП Петрушин Е.М. - 19 ед. транспорта (2 муниципальных маршрута).</w:t>
      </w:r>
      <w:proofErr w:type="gramEnd"/>
    </w:p>
    <w:p w:rsidR="002F4961" w:rsidRPr="00767D63" w:rsidRDefault="002F4961" w:rsidP="008038E7">
      <w:pPr>
        <w:ind w:firstLine="567"/>
        <w:jc w:val="both"/>
      </w:pPr>
      <w:proofErr w:type="gramStart"/>
      <w:r w:rsidRPr="00767D63">
        <w:t xml:space="preserve">Через г. Сыктывкар следуют 27 межмуниципальных маршрутов регулярных перевозок: № 101 «Плавательный бассейн — </w:t>
      </w:r>
      <w:proofErr w:type="spellStart"/>
      <w:r w:rsidRPr="00767D63">
        <w:t>Выльгорт</w:t>
      </w:r>
      <w:proofErr w:type="spellEnd"/>
      <w:r w:rsidRPr="00767D63">
        <w:t xml:space="preserve">, птицефабрика», № 107 «Сыктывкар — Нювчим», № 108 «Плавательный бассейн — </w:t>
      </w:r>
      <w:proofErr w:type="spellStart"/>
      <w:r w:rsidRPr="00767D63">
        <w:t>Парчег</w:t>
      </w:r>
      <w:proofErr w:type="spellEnd"/>
      <w:r w:rsidRPr="00767D63">
        <w:t xml:space="preserve">», № 111 «Автостанция — общество Магистраль», № 112 «Сыктывкар — </w:t>
      </w:r>
      <w:proofErr w:type="spellStart"/>
      <w:r w:rsidRPr="00767D63">
        <w:t>Гаръя</w:t>
      </w:r>
      <w:proofErr w:type="spellEnd"/>
      <w:r w:rsidRPr="00767D63">
        <w:t xml:space="preserve">», № 113 «Сыктывкар — Красная», № 114 «Сыктывкар – Дань-Дор», № 115 «Сыктывкар — Корткерос», № 124 «Железнодорожный вокзал — </w:t>
      </w:r>
      <w:proofErr w:type="spellStart"/>
      <w:r w:rsidRPr="00767D63">
        <w:t>Морово</w:t>
      </w:r>
      <w:proofErr w:type="spellEnd"/>
      <w:r w:rsidRPr="00767D63">
        <w:t xml:space="preserve">», № 125 «Орбита — Мелиоратор», № 128 «Ул. Карла Маркса — </w:t>
      </w:r>
      <w:proofErr w:type="spellStart"/>
      <w:r w:rsidRPr="00767D63">
        <w:t>Човские</w:t>
      </w:r>
      <w:proofErr w:type="spellEnd"/>
      <w:r w:rsidRPr="00767D63">
        <w:t xml:space="preserve"> Зори», № 504 «Сыктывкар — Койгородок», № 506 «Сыктывкар — Вуктыл», № 514 «Сыктывкар — </w:t>
      </w:r>
      <w:proofErr w:type="spellStart"/>
      <w:r w:rsidRPr="00767D63">
        <w:t>Волокул</w:t>
      </w:r>
      <w:proofErr w:type="spellEnd"/>
      <w:r w:rsidRPr="00767D63">
        <w:t>», № 520</w:t>
      </w:r>
      <w:proofErr w:type="gramEnd"/>
      <w:r w:rsidRPr="00767D63">
        <w:t xml:space="preserve"> «Сыктывкар — </w:t>
      </w:r>
      <w:proofErr w:type="spellStart"/>
      <w:r w:rsidRPr="00767D63">
        <w:t>Коквицы</w:t>
      </w:r>
      <w:proofErr w:type="spellEnd"/>
      <w:r w:rsidRPr="00767D63">
        <w:t xml:space="preserve">», № 521 «Сыктывкар — Усть-Кулом», № 524 «Сыктывкар — Нившера», № 525 «Сыктывкар — Микунь», № 529 «Сыктывкар — </w:t>
      </w:r>
      <w:proofErr w:type="spellStart"/>
      <w:r w:rsidRPr="00767D63">
        <w:t>Намск</w:t>
      </w:r>
      <w:proofErr w:type="spellEnd"/>
      <w:r w:rsidRPr="00767D63">
        <w:t xml:space="preserve">», № 567 «Сыктывкар — Ухта», № 502 «Сыктывкар — </w:t>
      </w:r>
      <w:proofErr w:type="spellStart"/>
      <w:r w:rsidRPr="00767D63">
        <w:t>Лойма</w:t>
      </w:r>
      <w:proofErr w:type="spellEnd"/>
      <w:r w:rsidRPr="00767D63">
        <w:t>», № 518 «Смолянка — Сыктывкар», № 519 «</w:t>
      </w:r>
      <w:proofErr w:type="spellStart"/>
      <w:r w:rsidRPr="00767D63">
        <w:t>Коквицы</w:t>
      </w:r>
      <w:proofErr w:type="spellEnd"/>
      <w:r w:rsidRPr="00767D63">
        <w:t xml:space="preserve"> — Сыктывкар», № 576 «Усть-Цильма — Сыктывкар», № 569 «</w:t>
      </w:r>
      <w:proofErr w:type="spellStart"/>
      <w:r w:rsidRPr="00767D63">
        <w:t>Уръёль</w:t>
      </w:r>
      <w:proofErr w:type="spellEnd"/>
      <w:r w:rsidRPr="00767D63">
        <w:t xml:space="preserve"> — Сыктывкар», № 507 «Сыктывкар — Визинга», № 509 «Сыктывкар — Койгородок». Пассажиропоток по этим маршрутам за 2020 г. составил 3 907,5 тыс. человек.</w:t>
      </w:r>
    </w:p>
    <w:p w:rsidR="002F4961" w:rsidRPr="00767D63" w:rsidRDefault="002F4961" w:rsidP="008038E7">
      <w:pPr>
        <w:ind w:firstLine="567"/>
        <w:jc w:val="both"/>
      </w:pPr>
      <w:r w:rsidRPr="00767D63">
        <w:t xml:space="preserve">На территории г. Сыктывкара функционирует одна автостанция, транспортное обслуживание населения по межмуниципальным маршрутам регулярных перевозок осуществляют 13 предпринимателей и организаций: ИП </w:t>
      </w:r>
      <w:proofErr w:type="spellStart"/>
      <w:r w:rsidRPr="00767D63">
        <w:t>Рехвиашвили</w:t>
      </w:r>
      <w:proofErr w:type="spellEnd"/>
      <w:r w:rsidRPr="00767D63">
        <w:t xml:space="preserve"> С.В., ИП Карпова С.В., ИП </w:t>
      </w:r>
      <w:proofErr w:type="spellStart"/>
      <w:r w:rsidRPr="00767D63">
        <w:t>Русакова</w:t>
      </w:r>
      <w:proofErr w:type="spellEnd"/>
      <w:r w:rsidRPr="00767D63">
        <w:t xml:space="preserve"> Л.Н., ИП Михайлов М.А., ИП Тарасов П.Н., ИП Васильев А.И., ИП Иванова Н.Е., ИП Вишняков Н.Н., ИП </w:t>
      </w:r>
      <w:proofErr w:type="spellStart"/>
      <w:r w:rsidRPr="00767D63">
        <w:t>Зюзев</w:t>
      </w:r>
      <w:proofErr w:type="spellEnd"/>
      <w:r w:rsidRPr="00767D63">
        <w:t xml:space="preserve"> В.А., OOO «САТП № 1», ООО «Рост», ООО «</w:t>
      </w:r>
      <w:proofErr w:type="spellStart"/>
      <w:r w:rsidRPr="00767D63">
        <w:t>Ухтинское</w:t>
      </w:r>
      <w:proofErr w:type="spellEnd"/>
      <w:r w:rsidRPr="00767D63">
        <w:t xml:space="preserve"> АТП», ООО «Север-Плюс».</w:t>
      </w:r>
    </w:p>
    <w:p w:rsidR="002F4961" w:rsidRPr="00767D63" w:rsidRDefault="002F4961" w:rsidP="008038E7">
      <w:pPr>
        <w:ind w:firstLine="567"/>
        <w:jc w:val="both"/>
      </w:pPr>
      <w:r w:rsidRPr="00767D63">
        <w:t>В 2020 году в аэропорту города Сыктывкара было обслужено 269,41 тыс. пассажиров. Количество перевезенных пассажиров по ст. Сыктывкар в 2020 году составило 276, 99 тыс. человек (в том числе отправлено 144,3 тыс. человек, прибыло 132,7 тыс. человек).</w:t>
      </w:r>
    </w:p>
    <w:p w:rsidR="0030472D" w:rsidRPr="00767D63" w:rsidRDefault="0030472D" w:rsidP="008038E7">
      <w:pPr>
        <w:ind w:firstLine="567"/>
        <w:jc w:val="both"/>
        <w:rPr>
          <w:highlight w:val="yellow"/>
        </w:rPr>
      </w:pPr>
      <w:r w:rsidRPr="00767D63">
        <w:rPr>
          <w:i/>
        </w:rPr>
        <w:t>Среднемесячная номинальная начисленная заработная плата работников крупных и средних предприятий и некоммерческих организаций</w:t>
      </w:r>
      <w:r w:rsidRPr="00767D63">
        <w:t xml:space="preserve"> в городском округе в 20</w:t>
      </w:r>
      <w:r w:rsidR="00AD3C53" w:rsidRPr="00767D63">
        <w:t xml:space="preserve">20 </w:t>
      </w:r>
      <w:r w:rsidRPr="00767D63">
        <w:t xml:space="preserve">году составила </w:t>
      </w:r>
      <w:r w:rsidR="00AD3C53" w:rsidRPr="00767D63">
        <w:t>55 526,0</w:t>
      </w:r>
      <w:r w:rsidR="00C55A53" w:rsidRPr="00767D63">
        <w:t xml:space="preserve"> </w:t>
      </w:r>
      <w:r w:rsidRPr="00767D63">
        <w:t>руб., прирост по сравнению с 201</w:t>
      </w:r>
      <w:r w:rsidR="00AD3C53" w:rsidRPr="00767D63">
        <w:t>9</w:t>
      </w:r>
      <w:r w:rsidRPr="00767D63">
        <w:t xml:space="preserve"> годом</w:t>
      </w:r>
      <w:r w:rsidR="00412D06" w:rsidRPr="00767D63">
        <w:t xml:space="preserve"> составил </w:t>
      </w:r>
      <w:r w:rsidR="00AD3C53" w:rsidRPr="00767D63">
        <w:t>6,8</w:t>
      </w:r>
      <w:r w:rsidRPr="00767D63">
        <w:t xml:space="preserve">%. </w:t>
      </w:r>
      <w:r w:rsidR="00CF60C2" w:rsidRPr="00767D63">
        <w:t>Р</w:t>
      </w:r>
      <w:r w:rsidR="00FD0D53" w:rsidRPr="00767D63">
        <w:t>уководителями крупных и средних предприятий города осуществл</w:t>
      </w:r>
      <w:r w:rsidR="002005FC" w:rsidRPr="00767D63">
        <w:t>ялась</w:t>
      </w:r>
      <w:r w:rsidR="00FD0D53" w:rsidRPr="00767D63">
        <w:t xml:space="preserve"> </w:t>
      </w:r>
      <w:r w:rsidR="002005FC" w:rsidRPr="00767D63">
        <w:t>индексация уровня</w:t>
      </w:r>
      <w:r w:rsidR="00FD0D53" w:rsidRPr="00767D63">
        <w:t xml:space="preserve"> оплаты труда на подведомственных предприятиях.</w:t>
      </w:r>
      <w:r w:rsidRPr="00767D63">
        <w:t xml:space="preserve"> </w:t>
      </w:r>
      <w:r w:rsidR="00576913" w:rsidRPr="00767D63">
        <w:t>Плановое значение оставлено на</w:t>
      </w:r>
      <w:r w:rsidR="00DC6E8E" w:rsidRPr="00767D63">
        <w:t xml:space="preserve"> среднем</w:t>
      </w:r>
      <w:r w:rsidR="00576913" w:rsidRPr="00767D63">
        <w:t xml:space="preserve"> уровне 201</w:t>
      </w:r>
      <w:r w:rsidR="00AD3C53" w:rsidRPr="00767D63">
        <w:t>9</w:t>
      </w:r>
      <w:r w:rsidR="00DC6E8E" w:rsidRPr="00767D63">
        <w:t>-20</w:t>
      </w:r>
      <w:r w:rsidR="00AD3C53" w:rsidRPr="00767D63">
        <w:t>20</w:t>
      </w:r>
      <w:r w:rsidR="00576913" w:rsidRPr="00767D63">
        <w:t xml:space="preserve"> года, поскольку не представляется возможным спрогнозировать решения руководителей коммерческих предприятий о повышении оплаты труда работникам на трехлетний период. </w:t>
      </w:r>
    </w:p>
    <w:p w:rsidR="00087F0C" w:rsidRPr="00767D63" w:rsidRDefault="0030472D" w:rsidP="008038E7">
      <w:pPr>
        <w:tabs>
          <w:tab w:val="center" w:pos="7632"/>
        </w:tabs>
        <w:ind w:right="72" w:firstLine="567"/>
        <w:jc w:val="both"/>
      </w:pPr>
      <w:r w:rsidRPr="00767D63">
        <w:t>В 20</w:t>
      </w:r>
      <w:r w:rsidR="00AD3C53" w:rsidRPr="00767D63">
        <w:t>20</w:t>
      </w:r>
      <w:r w:rsidRPr="00767D63">
        <w:t xml:space="preserve"> году </w:t>
      </w:r>
      <w:r w:rsidR="00087F0C" w:rsidRPr="00767D63">
        <w:rPr>
          <w:i/>
        </w:rPr>
        <w:t xml:space="preserve">среднемесячная номинальная начисленная заработная плата </w:t>
      </w:r>
      <w:r w:rsidRPr="00767D63">
        <w:rPr>
          <w:i/>
        </w:rPr>
        <w:t>работников</w:t>
      </w:r>
      <w:r w:rsidR="00087F0C" w:rsidRPr="00767D63">
        <w:t>:</w:t>
      </w:r>
    </w:p>
    <w:p w:rsidR="00576913" w:rsidRPr="00767D63" w:rsidRDefault="00087F0C" w:rsidP="008038E7">
      <w:pPr>
        <w:tabs>
          <w:tab w:val="center" w:pos="7632"/>
        </w:tabs>
        <w:ind w:right="72" w:firstLine="567"/>
        <w:jc w:val="both"/>
        <w:rPr>
          <w:rFonts w:eastAsia="Times New Roman"/>
        </w:rPr>
      </w:pPr>
      <w:r w:rsidRPr="00767D63">
        <w:t xml:space="preserve">- муниципальных дошкольных образовательных учреждений – </w:t>
      </w:r>
      <w:r w:rsidR="00D2319B" w:rsidRPr="00767D63">
        <w:rPr>
          <w:rFonts w:eastAsia="Times New Roman"/>
        </w:rPr>
        <w:t>33 230,0</w:t>
      </w:r>
      <w:r w:rsidRPr="00767D63">
        <w:rPr>
          <w:rFonts w:eastAsia="Times New Roman"/>
        </w:rPr>
        <w:t xml:space="preserve"> руб.</w:t>
      </w:r>
      <w:r w:rsidR="00C55A53" w:rsidRPr="00767D63">
        <w:rPr>
          <w:rFonts w:eastAsia="Times New Roman"/>
        </w:rPr>
        <w:t>,</w:t>
      </w:r>
      <w:r w:rsidR="001A024A" w:rsidRPr="00767D63">
        <w:rPr>
          <w:rFonts w:eastAsia="Times New Roman"/>
        </w:rPr>
        <w:t xml:space="preserve"> </w:t>
      </w:r>
    </w:p>
    <w:p w:rsidR="00576913" w:rsidRPr="00767D63" w:rsidRDefault="00576913" w:rsidP="008038E7">
      <w:pPr>
        <w:tabs>
          <w:tab w:val="center" w:pos="7632"/>
        </w:tabs>
        <w:ind w:right="72" w:firstLine="567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- </w:t>
      </w:r>
      <w:r w:rsidR="001A024A" w:rsidRPr="00767D63">
        <w:rPr>
          <w:rFonts w:eastAsia="Times New Roman"/>
        </w:rPr>
        <w:t xml:space="preserve">муниципальных общеобразовательных учреждений – </w:t>
      </w:r>
      <w:r w:rsidR="00D2319B" w:rsidRPr="00767D63">
        <w:rPr>
          <w:rFonts w:eastAsia="Times New Roman"/>
        </w:rPr>
        <w:t>42 012,0</w:t>
      </w:r>
      <w:r w:rsidR="001A024A" w:rsidRPr="00767D63">
        <w:rPr>
          <w:rFonts w:eastAsia="Times New Roman"/>
        </w:rPr>
        <w:t xml:space="preserve"> руб., </w:t>
      </w:r>
    </w:p>
    <w:p w:rsidR="001A024A" w:rsidRPr="00767D63" w:rsidRDefault="00576913" w:rsidP="008038E7">
      <w:pPr>
        <w:tabs>
          <w:tab w:val="center" w:pos="7632"/>
        </w:tabs>
        <w:ind w:right="72" w:firstLine="567"/>
        <w:jc w:val="both"/>
        <w:rPr>
          <w:bCs/>
        </w:rPr>
      </w:pPr>
      <w:r w:rsidRPr="00767D63">
        <w:rPr>
          <w:rFonts w:eastAsia="Times New Roman"/>
        </w:rPr>
        <w:t xml:space="preserve">- </w:t>
      </w:r>
      <w:r w:rsidR="001A024A" w:rsidRPr="00767D63">
        <w:rPr>
          <w:rFonts w:eastAsia="Times New Roman"/>
        </w:rPr>
        <w:t>учителей</w:t>
      </w:r>
      <w:r w:rsidR="001E22DB" w:rsidRPr="00767D63">
        <w:rPr>
          <w:bCs/>
        </w:rPr>
        <w:t xml:space="preserve"> общего образования составила </w:t>
      </w:r>
      <w:r w:rsidR="00D2319B" w:rsidRPr="00767D63">
        <w:rPr>
          <w:bCs/>
        </w:rPr>
        <w:t>47 246,0</w:t>
      </w:r>
      <w:r w:rsidR="001A024A" w:rsidRPr="00767D63">
        <w:rPr>
          <w:bCs/>
        </w:rPr>
        <w:t xml:space="preserve"> руб.</w:t>
      </w:r>
      <w:r w:rsidR="00DC6E8E" w:rsidRPr="00767D63">
        <w:rPr>
          <w:bCs/>
        </w:rPr>
        <w:t>,</w:t>
      </w:r>
      <w:r w:rsidR="001A024A" w:rsidRPr="00767D63">
        <w:rPr>
          <w:bCs/>
        </w:rPr>
        <w:t xml:space="preserve"> </w:t>
      </w:r>
    </w:p>
    <w:p w:rsidR="00576913" w:rsidRPr="00767D63" w:rsidRDefault="00576913" w:rsidP="008038E7">
      <w:pPr>
        <w:tabs>
          <w:tab w:val="center" w:pos="7632"/>
        </w:tabs>
        <w:ind w:right="72" w:firstLine="567"/>
        <w:jc w:val="both"/>
      </w:pPr>
      <w:r w:rsidRPr="00767D63">
        <w:rPr>
          <w:bCs/>
        </w:rPr>
        <w:t xml:space="preserve">- </w:t>
      </w:r>
      <w:r w:rsidR="00087F0C" w:rsidRPr="00767D63">
        <w:t>муниципальных учреждений культуры и искусства –</w:t>
      </w:r>
      <w:r w:rsidRPr="00767D63">
        <w:t xml:space="preserve"> </w:t>
      </w:r>
      <w:r w:rsidR="00D2319B" w:rsidRPr="00767D63">
        <w:t>50 013,0</w:t>
      </w:r>
      <w:r w:rsidR="00DC6E8E" w:rsidRPr="00767D63">
        <w:t xml:space="preserve"> руб.,</w:t>
      </w:r>
      <w:r w:rsidR="00087F0C" w:rsidRPr="00767D63">
        <w:rPr>
          <w:rFonts w:eastAsia="Times New Roman"/>
        </w:rPr>
        <w:t xml:space="preserve"> </w:t>
      </w:r>
    </w:p>
    <w:p w:rsidR="00576913" w:rsidRPr="00767D63" w:rsidRDefault="00087F0C" w:rsidP="008038E7">
      <w:pPr>
        <w:tabs>
          <w:tab w:val="center" w:pos="7632"/>
        </w:tabs>
        <w:ind w:right="72" w:firstLine="567"/>
        <w:jc w:val="both"/>
        <w:rPr>
          <w:rFonts w:eastAsia="Times New Roman"/>
        </w:rPr>
      </w:pPr>
      <w:r w:rsidRPr="00767D63">
        <w:t xml:space="preserve">- муниципальных учреждений физической культуры и спорта – </w:t>
      </w:r>
      <w:r w:rsidR="00D2319B" w:rsidRPr="00767D63">
        <w:rPr>
          <w:rFonts w:eastAsia="Times New Roman"/>
        </w:rPr>
        <w:t>41 038,0</w:t>
      </w:r>
      <w:r w:rsidR="00576913" w:rsidRPr="00767D63">
        <w:rPr>
          <w:rFonts w:eastAsia="Times New Roman"/>
        </w:rPr>
        <w:t xml:space="preserve"> </w:t>
      </w:r>
      <w:r w:rsidRPr="00767D63">
        <w:rPr>
          <w:rFonts w:eastAsia="Times New Roman"/>
        </w:rPr>
        <w:t xml:space="preserve">руб. </w:t>
      </w:r>
    </w:p>
    <w:p w:rsidR="00E57BA9" w:rsidRPr="00767D63" w:rsidRDefault="00576913" w:rsidP="008038E7">
      <w:pPr>
        <w:tabs>
          <w:tab w:val="center" w:pos="7632"/>
        </w:tabs>
        <w:ind w:right="72" w:firstLine="567"/>
        <w:jc w:val="both"/>
        <w:rPr>
          <w:b/>
        </w:rPr>
      </w:pPr>
      <w:r w:rsidRPr="00767D63">
        <w:rPr>
          <w:bCs/>
        </w:rPr>
        <w:t>Все значения соответствуют показателям, установленным Протоколом совещания рабочей группы по рассмотрению сроков и темпов повышения уровня оплаты труда в рамках исполнения «майских» указов Президента РФ.</w:t>
      </w:r>
    </w:p>
    <w:p w:rsidR="00576913" w:rsidRPr="00767D63" w:rsidRDefault="00576913" w:rsidP="008038E7">
      <w:pPr>
        <w:tabs>
          <w:tab w:val="center" w:pos="7632"/>
        </w:tabs>
        <w:ind w:right="72" w:firstLine="567"/>
        <w:jc w:val="both"/>
      </w:pPr>
      <w:r w:rsidRPr="00767D63">
        <w:t xml:space="preserve">В плановом периоде </w:t>
      </w:r>
      <w:r w:rsidR="00A63B3B" w:rsidRPr="00767D63">
        <w:t xml:space="preserve">в соответствии с основными направлениями бюджетной и налоговой политики Республики Коми планируется индексация заработной платы работников муниципальных учреждений. </w:t>
      </w:r>
      <w:r w:rsidRPr="00767D63">
        <w:t xml:space="preserve"> </w:t>
      </w:r>
    </w:p>
    <w:p w:rsidR="00576913" w:rsidRPr="00767D63" w:rsidRDefault="00576913" w:rsidP="008038E7">
      <w:pPr>
        <w:tabs>
          <w:tab w:val="center" w:pos="7632"/>
        </w:tabs>
        <w:ind w:right="72" w:firstLine="567"/>
        <w:jc w:val="both"/>
        <w:rPr>
          <w:b/>
        </w:rPr>
      </w:pPr>
    </w:p>
    <w:p w:rsidR="0030472D" w:rsidRPr="00767D63" w:rsidRDefault="00576913" w:rsidP="008038E7">
      <w:pPr>
        <w:jc w:val="center"/>
        <w:outlineLvl w:val="0"/>
      </w:pPr>
      <w:r w:rsidRPr="00767D63">
        <w:rPr>
          <w:b/>
        </w:rPr>
        <w:t xml:space="preserve">2. </w:t>
      </w:r>
      <w:r w:rsidR="0030472D" w:rsidRPr="00767D63">
        <w:rPr>
          <w:b/>
        </w:rPr>
        <w:t xml:space="preserve">Дошкольное образование </w:t>
      </w:r>
    </w:p>
    <w:p w:rsidR="00576913" w:rsidRPr="00767D63" w:rsidRDefault="00576913" w:rsidP="008038E7">
      <w:pPr>
        <w:jc w:val="center"/>
      </w:pPr>
    </w:p>
    <w:p w:rsidR="0043302A" w:rsidRPr="00767D63" w:rsidRDefault="0043302A" w:rsidP="008038E7">
      <w:pPr>
        <w:ind w:firstLine="567"/>
        <w:jc w:val="both"/>
      </w:pPr>
      <w:r w:rsidRPr="00767D63">
        <w:t>Система дошкольного образования МО ГО Сыктывкар» включает 66 образовательных организаций (65 дошкольных образовательных организаций и 1 Прогимназия), в которых функционирует 808 групп. По состоянию на 31.12.20</w:t>
      </w:r>
      <w:r w:rsidR="00D2319B" w:rsidRPr="00767D63">
        <w:t>20</w:t>
      </w:r>
      <w:r w:rsidRPr="00767D63">
        <w:t xml:space="preserve"> дошкольные образовательные организации города Сыктывкара (далее - ДОО) посещали </w:t>
      </w:r>
      <w:r w:rsidR="00D2319B" w:rsidRPr="00767D63">
        <w:t>19 744  воспитанника, в том числе 970 детей-инвалидов и детей с ограниченными возможностями здоровья.</w:t>
      </w:r>
    </w:p>
    <w:p w:rsidR="00A42693" w:rsidRPr="00767D63" w:rsidRDefault="00A42693" w:rsidP="008038E7">
      <w:pPr>
        <w:ind w:firstLine="567"/>
        <w:jc w:val="both"/>
      </w:pPr>
      <w:proofErr w:type="gramStart"/>
      <w:r w:rsidRPr="00767D63">
        <w:rPr>
          <w:i/>
        </w:rPr>
        <w:t>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</w:t>
      </w:r>
      <w:r w:rsidRPr="00767D63">
        <w:t xml:space="preserve"> за 20</w:t>
      </w:r>
      <w:r w:rsidR="00D2319B" w:rsidRPr="00767D63">
        <w:t>20</w:t>
      </w:r>
      <w:r w:rsidRPr="00767D63">
        <w:t xml:space="preserve"> год составила </w:t>
      </w:r>
      <w:r w:rsidR="00653C77" w:rsidRPr="00767D63">
        <w:t>97,7</w:t>
      </w:r>
      <w:r w:rsidRPr="00767D63">
        <w:t xml:space="preserve">%. </w:t>
      </w:r>
      <w:r w:rsidR="00653C77" w:rsidRPr="00767D63">
        <w:t>Значение показателя</w:t>
      </w:r>
      <w:r w:rsidR="00275227" w:rsidRPr="00767D63">
        <w:t xml:space="preserve"> </w:t>
      </w:r>
      <w:r w:rsidR="00275227" w:rsidRPr="00767D63">
        <w:lastRenderedPageBreak/>
        <w:t xml:space="preserve">обусловлено </w:t>
      </w:r>
      <w:r w:rsidR="00D2319B" w:rsidRPr="00767D63">
        <w:t>активной деятельностью по обеспечению доступности дошкольного образования – создание новых мест в муниципальных дошкольных организациях, развитие услуг в негосударственном секторе дошкольного образования, организация</w:t>
      </w:r>
      <w:proofErr w:type="gramEnd"/>
      <w:r w:rsidR="00D2319B" w:rsidRPr="00767D63">
        <w:t xml:space="preserve"> деятельности Консультативных центров.</w:t>
      </w:r>
      <w:r w:rsidR="00275227" w:rsidRPr="00767D63">
        <w:t xml:space="preserve"> Прогнозные показатели на 3-х летний период будут достигнуты за счет </w:t>
      </w:r>
      <w:r w:rsidR="00377AE4" w:rsidRPr="00767D63">
        <w:t>планируемого ввода дополнительных мест для детей дошкольного возраста</w:t>
      </w:r>
      <w:r w:rsidR="00275227" w:rsidRPr="00767D63">
        <w:t>.</w:t>
      </w:r>
      <w:r w:rsidRPr="00767D63">
        <w:t xml:space="preserve"> </w:t>
      </w:r>
    </w:p>
    <w:p w:rsidR="00377AE4" w:rsidRPr="00767D63" w:rsidRDefault="00377AE4" w:rsidP="008038E7">
      <w:pPr>
        <w:ind w:firstLine="709"/>
        <w:jc w:val="both"/>
      </w:pPr>
      <w:r w:rsidRPr="00767D63">
        <w:t>В рамках реализации национального проекта «Демография» в 2020 году 99,5% воспитанников в возрасте от 1 года до 6 лет (15 554 чел.) предоставляется общедоступное и бесплатное дошкольное образование. По сравнению с 2019 годом произошло незначительное увеличение показателя. Доступность дошкольного образования для детей в возрасте от 2 месяцев до 3 лет составляет 98%, что на 10% больше, чем в 2019 году.</w:t>
      </w:r>
    </w:p>
    <w:p w:rsidR="00A42693" w:rsidRPr="00767D63" w:rsidRDefault="00A42693" w:rsidP="008038E7">
      <w:pPr>
        <w:ind w:firstLine="567"/>
        <w:jc w:val="both"/>
      </w:pPr>
      <w:r w:rsidRPr="00767D63">
        <w:t>«</w:t>
      </w:r>
      <w:r w:rsidRPr="00767D63">
        <w:rPr>
          <w:i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Pr="00767D63">
        <w:t xml:space="preserve">» составила </w:t>
      </w:r>
      <w:r w:rsidR="00E4460C" w:rsidRPr="00767D63">
        <w:t>7,35</w:t>
      </w:r>
      <w:r w:rsidRPr="00767D63">
        <w:t>%, что</w:t>
      </w:r>
      <w:r w:rsidR="00275227" w:rsidRPr="00767D63">
        <w:t xml:space="preserve"> на</w:t>
      </w:r>
      <w:r w:rsidRPr="00767D63">
        <w:t xml:space="preserve"> </w:t>
      </w:r>
      <w:r w:rsidR="00E4460C" w:rsidRPr="00767D63">
        <w:t>3,17</w:t>
      </w:r>
      <w:r w:rsidR="00275227" w:rsidRPr="00767D63">
        <w:t xml:space="preserve"> </w:t>
      </w:r>
      <w:proofErr w:type="spellStart"/>
      <w:r w:rsidR="00275227" w:rsidRPr="00767D63">
        <w:t>п.п</w:t>
      </w:r>
      <w:proofErr w:type="spellEnd"/>
      <w:r w:rsidR="00275227" w:rsidRPr="00767D63">
        <w:t>.</w:t>
      </w:r>
      <w:r w:rsidRPr="00767D63">
        <w:t xml:space="preserve"> </w:t>
      </w:r>
      <w:r w:rsidR="00275227" w:rsidRPr="00767D63">
        <w:t>ниже</w:t>
      </w:r>
      <w:r w:rsidRPr="00767D63">
        <w:t xml:space="preserve"> уровня 201</w:t>
      </w:r>
      <w:r w:rsidR="00377AE4" w:rsidRPr="00767D63">
        <w:t>9</w:t>
      </w:r>
      <w:r w:rsidRPr="00767D63">
        <w:t xml:space="preserve"> года.</w:t>
      </w:r>
    </w:p>
    <w:p w:rsidR="007D152E" w:rsidRPr="00767D63" w:rsidRDefault="007D152E" w:rsidP="008038E7">
      <w:pPr>
        <w:ind w:firstLine="567"/>
        <w:jc w:val="both"/>
      </w:pPr>
      <w:r w:rsidRPr="00767D63">
        <w:t xml:space="preserve">Значительная часть деятельности </w:t>
      </w:r>
      <w:r w:rsidR="00B43D9A" w:rsidRPr="00767D63">
        <w:t>у</w:t>
      </w:r>
      <w:r w:rsidRPr="00767D63">
        <w:t>правления дошкольного образования</w:t>
      </w:r>
      <w:r w:rsidR="00B43D9A" w:rsidRPr="00767D63">
        <w:t xml:space="preserve"> администрации МО ГО «Сыктывкар»</w:t>
      </w:r>
      <w:r w:rsidRPr="00767D63">
        <w:t xml:space="preserve"> в 20</w:t>
      </w:r>
      <w:r w:rsidR="00377AE4" w:rsidRPr="00767D63">
        <w:t>20</w:t>
      </w:r>
      <w:r w:rsidRPr="00767D63">
        <w:t xml:space="preserve"> году осуществлялась в рамках подпрограммы «Развитие дошкольного образования» муниципальной программы</w:t>
      </w:r>
      <w:r w:rsidR="00CE3060" w:rsidRPr="00767D63">
        <w:t xml:space="preserve"> МО ГО «Сыктывкар»</w:t>
      </w:r>
      <w:r w:rsidRPr="00767D63">
        <w:t xml:space="preserve"> «Развитие образования»</w:t>
      </w:r>
      <w:r w:rsidR="00CE3060" w:rsidRPr="00767D63">
        <w:t>.</w:t>
      </w:r>
    </w:p>
    <w:p w:rsidR="007D152E" w:rsidRPr="00767D63" w:rsidRDefault="007D152E" w:rsidP="008038E7">
      <w:pPr>
        <w:ind w:firstLine="567"/>
        <w:jc w:val="both"/>
      </w:pPr>
      <w:r w:rsidRPr="00767D63">
        <w:tab/>
        <w:t>Реализация мероприятий подпрограммы «Развитие дошкольного образования», связанных с доступностью дошкольного образования, позволила в 20</w:t>
      </w:r>
      <w:r w:rsidR="00377AE4" w:rsidRPr="00767D63">
        <w:t>20 году</w:t>
      </w:r>
      <w:r w:rsidRPr="00767D63">
        <w:t xml:space="preserve"> ввести дополнительно </w:t>
      </w:r>
      <w:r w:rsidR="00377AE4" w:rsidRPr="00767D63">
        <w:t>414 новых</w:t>
      </w:r>
      <w:r w:rsidR="00A42693" w:rsidRPr="00767D63">
        <w:t xml:space="preserve"> мест</w:t>
      </w:r>
      <w:r w:rsidR="00377AE4" w:rsidRPr="00767D63">
        <w:t xml:space="preserve"> за счет строительства нового детского сада на 270 мест в </w:t>
      </w:r>
      <w:proofErr w:type="spellStart"/>
      <w:r w:rsidR="00377AE4" w:rsidRPr="00767D63">
        <w:t>Эжвинском</w:t>
      </w:r>
      <w:proofErr w:type="spellEnd"/>
      <w:r w:rsidR="00377AE4" w:rsidRPr="00767D63">
        <w:t xml:space="preserve"> районе г. Сыктывкара, за счет выкупа </w:t>
      </w:r>
      <w:proofErr w:type="gramStart"/>
      <w:r w:rsidR="00377AE4" w:rsidRPr="00767D63">
        <w:t>помещений</w:t>
      </w:r>
      <w:proofErr w:type="gramEnd"/>
      <w:r w:rsidR="00377AE4" w:rsidRPr="00767D63">
        <w:t xml:space="preserve"> на первом этаже вновь построенного жилого дома на 84 места, за счет переоборудования помещений в действующих зданиях 3 муниципальных </w:t>
      </w:r>
      <w:r w:rsidR="003C33FD" w:rsidRPr="00767D63">
        <w:t>ДОО</w:t>
      </w:r>
      <w:r w:rsidR="00377AE4" w:rsidRPr="00767D63">
        <w:t xml:space="preserve"> на 60 мест.</w:t>
      </w:r>
    </w:p>
    <w:p w:rsidR="008D7D18" w:rsidRPr="00767D63" w:rsidRDefault="008D7D18" w:rsidP="008038E7">
      <w:pPr>
        <w:ind w:firstLine="567"/>
        <w:jc w:val="both"/>
      </w:pPr>
      <w:r w:rsidRPr="00767D63">
        <w:t>По данным информационной системы учета очередности по состоянию на 31.12.20</w:t>
      </w:r>
      <w:r w:rsidR="003C33FD" w:rsidRPr="00767D63">
        <w:t>20</w:t>
      </w:r>
      <w:r w:rsidRPr="00767D63">
        <w:t xml:space="preserve"> </w:t>
      </w:r>
      <w:r w:rsidR="003C33FD" w:rsidRPr="00767D63">
        <w:t>зарегистрировано 2 908 детей в возрасте от 0 до 7 лет. Для обеспечения прозрачности продвижения очереди в муниципальные ДОО, снятия социальной напряженности, информирования населения о количестве свободных мест в 2014 году введена в эксплуатацию автоматизированная система «Электронное образование» с модулем «Е-услуги» для приема заявлений. Данной услугой в электронном виде в 2020 году воспользовалось 1 907 заявителей (40%), услугой «МФЦ» – 418 заявителей (9%) (в 2019 году – 1 412 / 830 соответственно).</w:t>
      </w:r>
      <w:r w:rsidRPr="00767D63">
        <w:t xml:space="preserve"> </w:t>
      </w:r>
    </w:p>
    <w:p w:rsidR="00A42693" w:rsidRPr="00767D63" w:rsidRDefault="00A42693" w:rsidP="008038E7">
      <w:pPr>
        <w:ind w:firstLine="567"/>
        <w:jc w:val="both"/>
      </w:pPr>
      <w:r w:rsidRPr="00767D63">
        <w:t>«</w:t>
      </w:r>
      <w:r w:rsidRPr="00767D63">
        <w:rPr>
          <w:i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Pr="00767D63">
        <w:t>» составила, как и ранее, 0%.</w:t>
      </w:r>
    </w:p>
    <w:p w:rsidR="003C33FD" w:rsidRPr="00767D63" w:rsidRDefault="003C33FD" w:rsidP="008038E7">
      <w:pPr>
        <w:ind w:firstLine="709"/>
        <w:jc w:val="both"/>
      </w:pPr>
      <w:bookmarkStart w:id="1" w:name="_Hlk66448142"/>
      <w:proofErr w:type="gramStart"/>
      <w:r w:rsidRPr="00767D63">
        <w:t>В 2020 году выполнены плановые текущие ремонты зданий, сооружений и прилегающих к ним территорий в 66 муниципальных ДОО; реализованы планы по повышению противопожарной безопасности, в том числе установлены вторые эвакуационные выходы в 1 ДОО (МАОУ «Прогимназия № 81»), выполнена отделка путей эвакуации негорючими материалами в 1 ДОО (МАДОУ «Центр развития ребенка – детский сад № 111»);</w:t>
      </w:r>
      <w:proofErr w:type="gramEnd"/>
      <w:r w:rsidRPr="00767D63">
        <w:t xml:space="preserve"> выполнены мероприятия по антитеррористической защищенности в 45 ДОО (установка систем охранной сигнализации, дооснащение систем видеонаблюдения, дооснащение ручными металлоискателями, установка ограждений территорий). Ежегодно проводятся работы по созданию доступной среды. На 31.12.2020 г. в 19 ДОО обустроены доступные входные группы и пандусы. В 2020 году обеспечена доступность услуг дошкольного образования для маломобильных детей в ДОО № 61, в котором произведены работы по адаптации лестничных проемов, адаптации входной группы и адаптации путей следования. Кроме того, закуплено программное обеспечение для организации коррекционно-развивающего образовательного процесса, дидактические и методические игровые пособия для детей с ограниченными возможностями здоровья.</w:t>
      </w:r>
    </w:p>
    <w:bookmarkEnd w:id="1"/>
    <w:p w:rsidR="00A42693" w:rsidRPr="00767D63" w:rsidRDefault="00A42693" w:rsidP="008038E7">
      <w:pPr>
        <w:ind w:firstLine="567"/>
        <w:jc w:val="both"/>
      </w:pPr>
      <w:r w:rsidRPr="00767D63">
        <w:t xml:space="preserve">В плановом периоде будет продолжена работа в целях сохранения </w:t>
      </w:r>
      <w:r w:rsidR="003C33FD" w:rsidRPr="00767D63">
        <w:t xml:space="preserve">достигнутых </w:t>
      </w:r>
      <w:r w:rsidRPr="00767D63">
        <w:t>значений показателей.</w:t>
      </w:r>
    </w:p>
    <w:p w:rsidR="00A42693" w:rsidRPr="00767D63" w:rsidRDefault="00A42693" w:rsidP="008038E7">
      <w:pPr>
        <w:ind w:firstLine="567"/>
        <w:jc w:val="both"/>
      </w:pPr>
    </w:p>
    <w:p w:rsidR="00BA38E1" w:rsidRPr="00767D63" w:rsidRDefault="001B7090" w:rsidP="008038E7">
      <w:pPr>
        <w:jc w:val="center"/>
        <w:outlineLvl w:val="0"/>
        <w:rPr>
          <w:b/>
        </w:rPr>
      </w:pPr>
      <w:r w:rsidRPr="00767D63">
        <w:rPr>
          <w:b/>
        </w:rPr>
        <w:t xml:space="preserve">3. </w:t>
      </w:r>
      <w:r w:rsidR="00BA38E1" w:rsidRPr="00767D63">
        <w:rPr>
          <w:b/>
        </w:rPr>
        <w:t>Общее и дополнительное образование</w:t>
      </w:r>
    </w:p>
    <w:p w:rsidR="001B7090" w:rsidRPr="00767D63" w:rsidRDefault="001B7090" w:rsidP="008038E7">
      <w:pPr>
        <w:jc w:val="center"/>
        <w:rPr>
          <w:b/>
        </w:rPr>
      </w:pPr>
    </w:p>
    <w:p w:rsidR="001B7090" w:rsidRPr="00767D63" w:rsidRDefault="00BA38E1" w:rsidP="008038E7">
      <w:pPr>
        <w:tabs>
          <w:tab w:val="left" w:pos="284"/>
        </w:tabs>
        <w:ind w:firstLine="709"/>
        <w:jc w:val="both"/>
      </w:pPr>
      <w:r w:rsidRPr="00767D63">
        <w:t>Показател</w:t>
      </w:r>
      <w:r w:rsidR="00276976" w:rsidRPr="00767D63">
        <w:t>ь</w:t>
      </w:r>
      <w:r w:rsidRPr="00767D63">
        <w:t xml:space="preserve"> «</w:t>
      </w:r>
      <w:r w:rsidR="001B7090" w:rsidRPr="00767D63">
        <w:rPr>
          <w:i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767D63">
        <w:t xml:space="preserve">» </w:t>
      </w:r>
      <w:r w:rsidR="0085734B" w:rsidRPr="00767D63">
        <w:t>имеет положительную динамику в 20</w:t>
      </w:r>
      <w:r w:rsidR="002F2974" w:rsidRPr="00767D63">
        <w:t>20</w:t>
      </w:r>
      <w:r w:rsidR="0085734B" w:rsidRPr="00767D63">
        <w:t xml:space="preserve"> </w:t>
      </w:r>
      <w:r w:rsidR="0085734B" w:rsidRPr="00767D63">
        <w:lastRenderedPageBreak/>
        <w:t>году по сравнению с 201</w:t>
      </w:r>
      <w:r w:rsidR="002F2974" w:rsidRPr="00767D63">
        <w:t>9</w:t>
      </w:r>
      <w:r w:rsidR="0085734B" w:rsidRPr="00767D63">
        <w:t xml:space="preserve"> годом. Значение показателя в 20</w:t>
      </w:r>
      <w:r w:rsidR="002F2974" w:rsidRPr="00767D63">
        <w:t>20 году составило 0</w:t>
      </w:r>
      <w:r w:rsidR="0085734B" w:rsidRPr="00767D63">
        <w:t>%</w:t>
      </w:r>
      <w:r w:rsidR="001B7090" w:rsidRPr="00767D63">
        <w:t xml:space="preserve"> (годом ранее – 0,</w:t>
      </w:r>
      <w:r w:rsidR="002F2974" w:rsidRPr="00767D63">
        <w:t>08</w:t>
      </w:r>
      <w:r w:rsidR="008374DC" w:rsidRPr="00767D63">
        <w:t>%)</w:t>
      </w:r>
      <w:r w:rsidR="001B7090" w:rsidRPr="00767D63">
        <w:t>.</w:t>
      </w:r>
    </w:p>
    <w:p w:rsidR="008374DC" w:rsidRPr="00767D63" w:rsidRDefault="008374DC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Целенаправленная, плановая и системная работа по реализации образовательных программ, по повышению качества образования в муниципальных общеобразовательных организациях МО ГО «Сыктывкар» способствовала получению стабильно высоких результатов выпускниками 11-х классов на ЕГЭ.</w:t>
      </w:r>
    </w:p>
    <w:p w:rsidR="002F2974" w:rsidRPr="00767D63" w:rsidRDefault="002F2974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 xml:space="preserve">В соответствии с Постановлением Правительства Российской Федерации от 10.06.2020 № 842 «Об особенностях проведения государственной итоговой аттестации по образовательным программам основного общего и  среднего общего образования и вступительных испытаний при приеме на обучение по программам </w:t>
      </w:r>
      <w:proofErr w:type="spellStart"/>
      <w:r w:rsidRPr="00767D63">
        <w:rPr>
          <w:rFonts w:eastAsia="Times New Roman"/>
        </w:rPr>
        <w:t>бакалавриата</w:t>
      </w:r>
      <w:proofErr w:type="spellEnd"/>
      <w:r w:rsidRPr="00767D63">
        <w:rPr>
          <w:rFonts w:eastAsia="Times New Roman"/>
        </w:rPr>
        <w:t xml:space="preserve"> и программам </w:t>
      </w:r>
      <w:proofErr w:type="spellStart"/>
      <w:r w:rsidRPr="00767D63">
        <w:rPr>
          <w:rFonts w:eastAsia="Times New Roman"/>
        </w:rPr>
        <w:t>специалитета</w:t>
      </w:r>
      <w:proofErr w:type="spellEnd"/>
      <w:r w:rsidRPr="00767D63">
        <w:rPr>
          <w:rFonts w:eastAsia="Times New Roman"/>
        </w:rPr>
        <w:t xml:space="preserve"> в 2020 году» в 2019-2020 учебном году государственная итоговая аттестация по образовательным программам  основного общего и среднего общего образования проведена в форме</w:t>
      </w:r>
      <w:proofErr w:type="gramEnd"/>
      <w:r w:rsidRPr="00767D63">
        <w:rPr>
          <w:rFonts w:eastAsia="Times New Roman"/>
        </w:rPr>
        <w:t xml:space="preserve"> промежуточной аттестации, результаты которой признаны результатами государственной итоговой аттестации по образовательным программам основного общего и среднего общего образования и являлись основанием для выдачи аттестата об основном общем образовании или аттестата о среднем общем образовании. </w:t>
      </w:r>
    </w:p>
    <w:p w:rsidR="002F2974" w:rsidRPr="00767D63" w:rsidRDefault="002F2974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По результатам ГИА-11 в 2020 году 1390 выпускников 11-х классов, или 100% от общего количества, получили аттестат о среднем общем образовании (в 2019 году - 99,92 %), из них 116 выпускников получили аттестат о среднем общем образовании с отличием.      </w:t>
      </w:r>
    </w:p>
    <w:p w:rsidR="002F2974" w:rsidRPr="00767D63" w:rsidRDefault="002F2974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 xml:space="preserve">Медалями «За особые успехи в учении» награждены 160 выпускников подведомственных МОО, в том числе 116 выпускников награждены медалью в соответствии с п. 10 ст. 34 Федерального закона от 29.12.2012г. № 273-ФЗ «Об образовании в Российской Федерации», 44 – серебряной медалью в соответствии с Постановлением Правительства Республики Коми от 27.05.2014г. № 211 «Об утверждении Положения о медалях «За особые успехи в учении». </w:t>
      </w:r>
      <w:proofErr w:type="gramEnd"/>
    </w:p>
    <w:p w:rsidR="002F2974" w:rsidRPr="00767D63" w:rsidRDefault="002F2974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Количество выпускников, награжденных медалями «За особые успехи в учении», в 2020 году увеличилось в сравнении с 2019 годом на 41,88%. </w:t>
      </w:r>
    </w:p>
    <w:p w:rsidR="001B7090" w:rsidRPr="00767D63" w:rsidRDefault="001B709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Работа в плановом периоде будет на</w:t>
      </w:r>
      <w:r w:rsidR="00940F76" w:rsidRPr="00767D63">
        <w:rPr>
          <w:rFonts w:eastAsia="Times New Roman"/>
        </w:rPr>
        <w:t>целена на сохранение результата.</w:t>
      </w:r>
    </w:p>
    <w:p w:rsidR="001B7090" w:rsidRPr="00767D63" w:rsidRDefault="001B709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Показатель «</w:t>
      </w:r>
      <w:r w:rsidRPr="00767D63">
        <w:rPr>
          <w:rFonts w:eastAsia="Times New Roman"/>
          <w:i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Pr="00767D63">
        <w:rPr>
          <w:rFonts w:eastAsia="Times New Roman"/>
        </w:rPr>
        <w:t>» в 20</w:t>
      </w:r>
      <w:r w:rsidR="002F2974" w:rsidRPr="00767D63">
        <w:rPr>
          <w:rFonts w:eastAsia="Times New Roman"/>
        </w:rPr>
        <w:t>20</w:t>
      </w:r>
      <w:r w:rsidRPr="00767D63">
        <w:rPr>
          <w:rFonts w:eastAsia="Times New Roman"/>
        </w:rPr>
        <w:t xml:space="preserve"> году </w:t>
      </w:r>
      <w:r w:rsidR="00940F76" w:rsidRPr="00767D63">
        <w:rPr>
          <w:rFonts w:eastAsia="Times New Roman"/>
        </w:rPr>
        <w:t xml:space="preserve">составил </w:t>
      </w:r>
      <w:r w:rsidR="00E4460C" w:rsidRPr="00767D63">
        <w:rPr>
          <w:rFonts w:eastAsia="Times New Roman"/>
        </w:rPr>
        <w:t>88,82</w:t>
      </w:r>
      <w:r w:rsidR="00940F76" w:rsidRPr="00767D63">
        <w:rPr>
          <w:rFonts w:eastAsia="Times New Roman"/>
        </w:rPr>
        <w:t xml:space="preserve">%.  </w:t>
      </w:r>
      <w:r w:rsidRPr="00767D63">
        <w:rPr>
          <w:rFonts w:eastAsia="Times New Roman"/>
        </w:rPr>
        <w:t xml:space="preserve"> </w:t>
      </w:r>
    </w:p>
    <w:p w:rsidR="005B0728" w:rsidRPr="00767D63" w:rsidRDefault="002F2974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муниципальных общеобразовательных организациях проводится систематическая целенаправленная работа по материально-техническому оснащению образовательного процесса   и созданию необходимых условий, связанных, прежде всего, с оснащением образовательного процесса. В связи с пандемией, вызванной новой </w:t>
      </w:r>
      <w:proofErr w:type="spellStart"/>
      <w:r w:rsidRPr="00767D63">
        <w:rPr>
          <w:rFonts w:eastAsia="Times New Roman"/>
        </w:rPr>
        <w:t>коронавирусной</w:t>
      </w:r>
      <w:proofErr w:type="spellEnd"/>
      <w:r w:rsidRPr="00767D63">
        <w:rPr>
          <w:rFonts w:eastAsia="Times New Roman"/>
        </w:rPr>
        <w:t xml:space="preserve"> инфекцией, подведомственные муниципальные общеобразовательные организации с 16.03.2020  реализовывали образовательные программы с использованием дистанционных образовательных технологий, в том числе с применением электронного обучения.</w:t>
      </w:r>
    </w:p>
    <w:p w:rsidR="001B7090" w:rsidRPr="00767D63" w:rsidRDefault="00525AE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В целях создания комфортных и безопасных условий обучения в 20</w:t>
      </w:r>
      <w:r w:rsidR="00234865" w:rsidRPr="00767D63">
        <w:rPr>
          <w:rFonts w:eastAsia="Times New Roman"/>
        </w:rPr>
        <w:t>20</w:t>
      </w:r>
      <w:r w:rsidRPr="00767D63">
        <w:rPr>
          <w:rFonts w:eastAsia="Times New Roman"/>
        </w:rPr>
        <w:t xml:space="preserve"> году продолжены  работы по ремонту зданий образовательных организаций  города.</w:t>
      </w:r>
    </w:p>
    <w:p w:rsidR="00234865" w:rsidRPr="00767D63" w:rsidRDefault="00234865" w:rsidP="008038E7">
      <w:pPr>
        <w:ind w:firstLine="709"/>
        <w:jc w:val="both"/>
        <w:rPr>
          <w:rFonts w:eastAsia="Times New Roman"/>
          <w:highlight w:val="yellow"/>
        </w:rPr>
      </w:pPr>
      <w:r w:rsidRPr="00767D63">
        <w:rPr>
          <w:rFonts w:eastAsia="Times New Roman"/>
        </w:rPr>
        <w:t>Общее число введённых ученических мест в 2020 году составило 1800 мест.</w:t>
      </w:r>
    </w:p>
    <w:p w:rsidR="001B7090" w:rsidRPr="00767D63" w:rsidRDefault="005B0728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плановом периоде будет продолжена работа по </w:t>
      </w:r>
      <w:r w:rsidR="00525AE0" w:rsidRPr="00767D63">
        <w:rPr>
          <w:rFonts w:eastAsia="Times New Roman"/>
        </w:rPr>
        <w:t>повышению</w:t>
      </w:r>
      <w:r w:rsidRPr="00767D63">
        <w:rPr>
          <w:rFonts w:eastAsia="Times New Roman"/>
        </w:rPr>
        <w:t xml:space="preserve"> значения показателя.</w:t>
      </w:r>
    </w:p>
    <w:p w:rsidR="0075278D" w:rsidRPr="00767D63" w:rsidRDefault="0075278D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Показатель «</w:t>
      </w:r>
      <w:r w:rsidRPr="00767D63">
        <w:rPr>
          <w:rFonts w:eastAsia="Times New Roman"/>
          <w:i/>
        </w:rPr>
        <w:t xml:space="preserve">Доля детей первой и второй групп здоровья в общей </w:t>
      </w:r>
      <w:proofErr w:type="gramStart"/>
      <w:r w:rsidRPr="00767D63">
        <w:rPr>
          <w:rFonts w:eastAsia="Times New Roman"/>
          <w:i/>
        </w:rPr>
        <w:t>численности</w:t>
      </w:r>
      <w:proofErr w:type="gramEnd"/>
      <w:r w:rsidRPr="00767D63">
        <w:rPr>
          <w:rFonts w:eastAsia="Times New Roman"/>
          <w:i/>
        </w:rPr>
        <w:t xml:space="preserve"> обучающихся в муниципальных общеобразовательных учреждениях»</w:t>
      </w:r>
      <w:r w:rsidRPr="00767D63">
        <w:rPr>
          <w:rFonts w:eastAsia="Times New Roman"/>
        </w:rPr>
        <w:t xml:space="preserve"> </w:t>
      </w:r>
      <w:r w:rsidR="00234865" w:rsidRPr="00767D63">
        <w:rPr>
          <w:rFonts w:eastAsia="Times New Roman"/>
        </w:rPr>
        <w:t>остался на</w:t>
      </w:r>
      <w:r w:rsidRPr="00767D63">
        <w:rPr>
          <w:rFonts w:eastAsia="Times New Roman"/>
        </w:rPr>
        <w:t xml:space="preserve"> уровн</w:t>
      </w:r>
      <w:r w:rsidR="00234865" w:rsidRPr="00767D63">
        <w:rPr>
          <w:rFonts w:eastAsia="Times New Roman"/>
        </w:rPr>
        <w:t>е</w:t>
      </w:r>
      <w:r w:rsidRPr="00767D63">
        <w:rPr>
          <w:rFonts w:eastAsia="Times New Roman"/>
        </w:rPr>
        <w:t xml:space="preserve"> 90,9%. Расчет показателя основан на данных медицинских учреждений на основании данных медицинских осмотров несовершеннолетних, включая детей дошкольного и школьного возраста, обучающихся как в муниципальных, так и в государственных образовательных организациях (в том числе специальных – коррекционных).</w:t>
      </w:r>
    </w:p>
    <w:p w:rsidR="00FE0F30" w:rsidRPr="00767D63" w:rsidRDefault="00FE0F3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В 2020 году с учетом эпидемиологической ситуации в условиях действующих ограничений, связанных с распространением COVID-19, при организации оздоровительной кампании был сделан акцент на проведение мероприятий в онлайн-формате.</w:t>
      </w:r>
    </w:p>
    <w:p w:rsidR="00FE0F30" w:rsidRPr="00767D63" w:rsidRDefault="00FE0F3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период летних каникул организована работа детских оздоровительных лагерей с дневным пребыванием детей на базе 23 муниципальных организаций с охватом 1210 детей, из них 179 детей, находящихся в трудной жизненной ситуации. </w:t>
      </w:r>
    </w:p>
    <w:p w:rsidR="00B81807" w:rsidRPr="00767D63" w:rsidRDefault="00B81807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lastRenderedPageBreak/>
        <w:t xml:space="preserve">В целях оздоровления детей дошкольного возраста в учреждениях дошкольного образования организованы мероприятия по повышению физической активности 100% детей, посещающих учреждения (зарядки, веселые старты, прогулки на свежем воздухе и иное). </w:t>
      </w:r>
    </w:p>
    <w:p w:rsidR="00FE0F30" w:rsidRPr="00767D63" w:rsidRDefault="006C63D7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</w:t>
      </w:r>
      <w:r w:rsidR="005B0728" w:rsidRPr="00767D63">
        <w:rPr>
          <w:rFonts w:eastAsia="Times New Roman"/>
        </w:rPr>
        <w:t>отчетном</w:t>
      </w:r>
      <w:r w:rsidRPr="00767D63">
        <w:rPr>
          <w:rFonts w:eastAsia="Times New Roman"/>
        </w:rPr>
        <w:t xml:space="preserve"> учебном году </w:t>
      </w:r>
      <w:r w:rsidRPr="00767D63">
        <w:rPr>
          <w:rFonts w:eastAsia="Times New Roman"/>
          <w:i/>
        </w:rPr>
        <w:t xml:space="preserve">доля </w:t>
      </w:r>
      <w:proofErr w:type="gramStart"/>
      <w:r w:rsidRPr="00767D63">
        <w:rPr>
          <w:rFonts w:eastAsia="Times New Roman"/>
          <w:i/>
        </w:rPr>
        <w:t>обучающихся</w:t>
      </w:r>
      <w:proofErr w:type="gramEnd"/>
      <w:r w:rsidRPr="00767D63">
        <w:rPr>
          <w:rFonts w:eastAsia="Times New Roman"/>
          <w:i/>
        </w:rPr>
        <w:t xml:space="preserve"> во вторую </w:t>
      </w:r>
      <w:r w:rsidR="0085734B" w:rsidRPr="00767D63">
        <w:rPr>
          <w:rFonts w:eastAsia="Times New Roman"/>
          <w:i/>
        </w:rPr>
        <w:t>смену</w:t>
      </w:r>
      <w:r w:rsidR="0085734B" w:rsidRPr="00767D63">
        <w:rPr>
          <w:rFonts w:eastAsia="Times New Roman"/>
        </w:rPr>
        <w:t xml:space="preserve"> в</w:t>
      </w:r>
      <w:r w:rsidRPr="00767D63">
        <w:rPr>
          <w:rFonts w:eastAsia="Times New Roman"/>
        </w:rPr>
        <w:t xml:space="preserve"> МОО </w:t>
      </w:r>
      <w:r w:rsidR="0075278D" w:rsidRPr="00767D63">
        <w:rPr>
          <w:rFonts w:eastAsia="Times New Roman"/>
        </w:rPr>
        <w:t>увеличилась</w:t>
      </w:r>
      <w:r w:rsidR="005B0728" w:rsidRPr="00767D63">
        <w:rPr>
          <w:rFonts w:eastAsia="Times New Roman"/>
        </w:rPr>
        <w:t xml:space="preserve"> на </w:t>
      </w:r>
      <w:r w:rsidR="00FE0F30" w:rsidRPr="00767D63">
        <w:rPr>
          <w:rFonts w:eastAsia="Times New Roman"/>
        </w:rPr>
        <w:t>1,8</w:t>
      </w:r>
      <w:r w:rsidR="0075278D" w:rsidRPr="00767D63">
        <w:rPr>
          <w:rFonts w:eastAsia="Times New Roman"/>
        </w:rPr>
        <w:t xml:space="preserve">п.п. и составила </w:t>
      </w:r>
      <w:r w:rsidR="00FE0F30" w:rsidRPr="00767D63">
        <w:rPr>
          <w:rFonts w:eastAsia="Times New Roman"/>
        </w:rPr>
        <w:t>25</w:t>
      </w:r>
      <w:r w:rsidR="005B0728" w:rsidRPr="00767D63">
        <w:rPr>
          <w:rFonts w:eastAsia="Times New Roman"/>
        </w:rPr>
        <w:t>%</w:t>
      </w:r>
      <w:r w:rsidR="00FE0F30" w:rsidRPr="00767D63">
        <w:rPr>
          <w:rFonts w:eastAsia="Times New Roman"/>
        </w:rPr>
        <w:t>.</w:t>
      </w:r>
    </w:p>
    <w:p w:rsidR="00FE0F30" w:rsidRPr="00767D63" w:rsidRDefault="0075278D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 </w:t>
      </w:r>
      <w:proofErr w:type="gramStart"/>
      <w:r w:rsidR="00FE0F30" w:rsidRPr="00767D63">
        <w:rPr>
          <w:rFonts w:eastAsia="Times New Roman"/>
        </w:rPr>
        <w:t>В 2020-2021 учебном году произошло значительное искусственное увеличение второй смены с 23,2% в 2019-2020 учебном году (278 классов 7326 учащихся из 1223 классов 31584 учащихся) до 25% в 2020-2021 учебном году (312 классов 8153 учащихся из 1284 классов 32528 учащихся) в связи с тем, что с целью соблюдения требований СП 3.1/2.4.3598-20 «Санитарно-эпидемиологические требования к устройству, содержанию и организации</w:t>
      </w:r>
      <w:proofErr w:type="gramEnd"/>
      <w:r w:rsidR="00FE0F30" w:rsidRPr="00767D63">
        <w:rPr>
          <w:rFonts w:eastAsia="Times New Roman"/>
        </w:rPr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E0F30" w:rsidRPr="00767D63">
        <w:rPr>
          <w:rFonts w:eastAsia="Times New Roman"/>
        </w:rPr>
        <w:t>коронавирусной</w:t>
      </w:r>
      <w:proofErr w:type="spellEnd"/>
      <w:r w:rsidR="00FE0F30" w:rsidRPr="00767D63">
        <w:rPr>
          <w:rFonts w:eastAsia="Times New Roman"/>
        </w:rPr>
        <w:t xml:space="preserve"> инфекции (COVID-19)», утвержденных Постановлением главного государственного санитарного врача Российской Федерации от 30.06.2020 № 16, за каждым классом закреплен отдельный учебный кабинет. </w:t>
      </w:r>
    </w:p>
    <w:p w:rsidR="00FE0F30" w:rsidRPr="00767D63" w:rsidRDefault="00FE0F3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Без учета требований закрепления за каждым классом отдельного кабинета во вторую смену обучались бы 21,16% учащихся (267 классов 6883 учащихся из 1284 классов 32528 учащихся).                                 </w:t>
      </w:r>
    </w:p>
    <w:p w:rsidR="00FE0F30" w:rsidRPr="00767D63" w:rsidRDefault="00FE0F3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 рамках создания  новых ученических мест в 2020 году введены в эксплуатацию два объекта: </w:t>
      </w:r>
      <w:proofErr w:type="gramStart"/>
      <w:r w:rsidRPr="00767D63">
        <w:rPr>
          <w:rFonts w:eastAsia="Times New Roman"/>
        </w:rPr>
        <w:t xml:space="preserve">Школа на 1200 мест по ул. Петрозаводской (здание МАОУ «Гимназия им. А.С. Пушкина» по адресу: ул. Петрозаводская, д.4), образовательный процесс начался 01.09.2020;  Школа  на 600 мест по ул. </w:t>
      </w:r>
      <w:proofErr w:type="spellStart"/>
      <w:r w:rsidRPr="00767D63">
        <w:rPr>
          <w:rFonts w:eastAsia="Times New Roman"/>
        </w:rPr>
        <w:t>Новозатонская</w:t>
      </w:r>
      <w:proofErr w:type="spellEnd"/>
      <w:r w:rsidRPr="00767D63">
        <w:rPr>
          <w:rFonts w:eastAsia="Times New Roman"/>
        </w:rPr>
        <w:t xml:space="preserve"> (здание МАОУ «СОШ № 9» по адресу: ул. г. Сыктывкар, </w:t>
      </w:r>
      <w:proofErr w:type="spellStart"/>
      <w:r w:rsidRPr="00767D63">
        <w:rPr>
          <w:rFonts w:eastAsia="Times New Roman"/>
        </w:rPr>
        <w:t>пгт</w:t>
      </w:r>
      <w:proofErr w:type="spellEnd"/>
      <w:r w:rsidRPr="00767D63">
        <w:rPr>
          <w:rFonts w:eastAsia="Times New Roman"/>
        </w:rPr>
        <w:t>.</w:t>
      </w:r>
      <w:proofErr w:type="gramEnd"/>
      <w:r w:rsidRPr="00767D63">
        <w:rPr>
          <w:rFonts w:eastAsia="Times New Roman"/>
        </w:rPr>
        <w:t xml:space="preserve"> </w:t>
      </w:r>
      <w:proofErr w:type="gramStart"/>
      <w:r w:rsidRPr="00767D63">
        <w:rPr>
          <w:rFonts w:eastAsia="Times New Roman"/>
        </w:rPr>
        <w:t>Краснозатонский, ул. Михайловская, д.19), образовательный процесс начался 16.11.2020.</w:t>
      </w:r>
      <w:proofErr w:type="gramEnd"/>
    </w:p>
    <w:p w:rsidR="005B0728" w:rsidRPr="00767D63" w:rsidRDefault="005B0728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плановом периоде планируется улучшить показатель </w:t>
      </w:r>
      <w:r w:rsidR="00FE0F30" w:rsidRPr="00767D63">
        <w:rPr>
          <w:rFonts w:eastAsia="Times New Roman"/>
        </w:rPr>
        <w:t>за счет строительства</w:t>
      </w:r>
      <w:r w:rsidRPr="00767D63">
        <w:rPr>
          <w:rFonts w:eastAsia="Times New Roman"/>
        </w:rPr>
        <w:t xml:space="preserve"> нов</w:t>
      </w:r>
      <w:r w:rsidR="00FE0F30" w:rsidRPr="00767D63">
        <w:rPr>
          <w:rFonts w:eastAsia="Times New Roman"/>
        </w:rPr>
        <w:t>ых</w:t>
      </w:r>
      <w:r w:rsidRPr="00767D63">
        <w:rPr>
          <w:rFonts w:eastAsia="Times New Roman"/>
        </w:rPr>
        <w:t xml:space="preserve"> школ. </w:t>
      </w:r>
    </w:p>
    <w:p w:rsidR="00FE0F30" w:rsidRPr="00767D63" w:rsidRDefault="005C221F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 xml:space="preserve">Значение показателя </w:t>
      </w:r>
      <w:r w:rsidRPr="00767D63">
        <w:rPr>
          <w:rFonts w:eastAsia="Times New Roman"/>
          <w:i/>
        </w:rPr>
        <w:t xml:space="preserve">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</w:t>
      </w:r>
      <w:r w:rsidRPr="00767D63">
        <w:rPr>
          <w:rFonts w:eastAsia="Times New Roman"/>
        </w:rPr>
        <w:t>в 20</w:t>
      </w:r>
      <w:r w:rsidR="00FE0F30" w:rsidRPr="00767D63">
        <w:rPr>
          <w:rFonts w:eastAsia="Times New Roman"/>
        </w:rPr>
        <w:t>20</w:t>
      </w:r>
      <w:r w:rsidRPr="00767D63">
        <w:rPr>
          <w:rFonts w:eastAsia="Times New Roman"/>
        </w:rPr>
        <w:t xml:space="preserve"> году составило </w:t>
      </w:r>
      <w:r w:rsidR="005B4150" w:rsidRPr="00767D63">
        <w:rPr>
          <w:rFonts w:eastAsia="Times New Roman"/>
        </w:rPr>
        <w:t>2,</w:t>
      </w:r>
      <w:r w:rsidR="00E4460C" w:rsidRPr="00767D63">
        <w:rPr>
          <w:rFonts w:eastAsia="Times New Roman"/>
        </w:rPr>
        <w:t>63</w:t>
      </w:r>
      <w:r w:rsidRPr="00767D63">
        <w:rPr>
          <w:rFonts w:eastAsia="Times New Roman"/>
        </w:rPr>
        <w:t>%. В 201</w:t>
      </w:r>
      <w:r w:rsidR="00076BF8" w:rsidRPr="00767D63">
        <w:rPr>
          <w:rFonts w:eastAsia="Times New Roman"/>
        </w:rPr>
        <w:t>9</w:t>
      </w:r>
      <w:r w:rsidRPr="00767D63">
        <w:rPr>
          <w:rFonts w:eastAsia="Times New Roman"/>
        </w:rPr>
        <w:t xml:space="preserve"> году в МО ГО «Сыктывкар» </w:t>
      </w:r>
      <w:r w:rsidR="005B4150" w:rsidRPr="00767D63">
        <w:rPr>
          <w:rFonts w:eastAsia="Times New Roman"/>
        </w:rPr>
        <w:t>одно здание МАОУ «Гимназия им. А.С. Пушкина», расположенное по адресу: ул. Советская, д. 14, находится в аварийном состоянии</w:t>
      </w:r>
      <w:r w:rsidRPr="00767D63">
        <w:rPr>
          <w:rFonts w:eastAsia="Times New Roman"/>
        </w:rPr>
        <w:t>.</w:t>
      </w:r>
      <w:proofErr w:type="gramEnd"/>
      <w:r w:rsidRPr="00767D63">
        <w:rPr>
          <w:rFonts w:eastAsia="Times New Roman"/>
        </w:rPr>
        <w:t xml:space="preserve"> </w:t>
      </w:r>
      <w:r w:rsidR="00FE0F30" w:rsidRPr="00767D63">
        <w:rPr>
          <w:rFonts w:eastAsia="Times New Roman"/>
        </w:rPr>
        <w:t>Разработана проектно-сметная документация на ремонт здания, проведена историко-культурная экспертиза, получено положительное заключение государственной экспертизы.</w:t>
      </w:r>
    </w:p>
    <w:p w:rsidR="005C221F" w:rsidRPr="00767D63" w:rsidRDefault="005C221F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>Вместе с тем, учитывая погодные условия на территории МО ГО «Сыктывк</w:t>
      </w:r>
      <w:r w:rsidR="00FE0F30" w:rsidRPr="00767D63">
        <w:rPr>
          <w:rFonts w:eastAsia="Times New Roman"/>
        </w:rPr>
        <w:t>ар»</w:t>
      </w:r>
      <w:r w:rsidRPr="00767D63">
        <w:rPr>
          <w:rFonts w:eastAsia="Times New Roman"/>
        </w:rPr>
        <w:t>, значительный износ зданий муниципальных общеобразовательных организаций, которые построены в 30-60-х годах прошлого века, растет вероятность увеличения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FE0F30" w:rsidRPr="00767D63">
        <w:rPr>
          <w:rFonts w:eastAsia="Times New Roman"/>
        </w:rPr>
        <w:t>,</w:t>
      </w:r>
      <w:r w:rsidRPr="00767D63">
        <w:rPr>
          <w:rFonts w:eastAsia="Times New Roman"/>
        </w:rPr>
        <w:t xml:space="preserve"> что и учтено в плановых показателях 20</w:t>
      </w:r>
      <w:r w:rsidR="00076BF8" w:rsidRPr="00767D63">
        <w:rPr>
          <w:rFonts w:eastAsia="Times New Roman"/>
        </w:rPr>
        <w:t>2</w:t>
      </w:r>
      <w:r w:rsidR="00FE0F30" w:rsidRPr="00767D63">
        <w:rPr>
          <w:rFonts w:eastAsia="Times New Roman"/>
        </w:rPr>
        <w:t>1</w:t>
      </w:r>
      <w:r w:rsidRPr="00767D63">
        <w:rPr>
          <w:rFonts w:eastAsia="Times New Roman"/>
        </w:rPr>
        <w:t>-202</w:t>
      </w:r>
      <w:r w:rsidR="00FE0F30" w:rsidRPr="00767D63">
        <w:rPr>
          <w:rFonts w:eastAsia="Times New Roman"/>
        </w:rPr>
        <w:t>3</w:t>
      </w:r>
      <w:r w:rsidRPr="00767D63">
        <w:rPr>
          <w:rFonts w:eastAsia="Times New Roman"/>
        </w:rPr>
        <w:t xml:space="preserve"> гг.</w:t>
      </w:r>
      <w:proofErr w:type="gramEnd"/>
    </w:p>
    <w:p w:rsidR="005B0728" w:rsidRPr="00767D63" w:rsidRDefault="005B0728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связи с выделением из республиканского бюджета Республики Коми средств субсидии на создание новых ученических мест показатель </w:t>
      </w:r>
      <w:r w:rsidRPr="00767D63">
        <w:rPr>
          <w:rFonts w:eastAsia="Times New Roman"/>
          <w:i/>
        </w:rPr>
        <w:t xml:space="preserve">расходов на 1 </w:t>
      </w:r>
      <w:r w:rsidR="00CD52BC" w:rsidRPr="00767D63">
        <w:rPr>
          <w:rFonts w:eastAsia="Times New Roman"/>
          <w:i/>
        </w:rPr>
        <w:t>обучающегося в</w:t>
      </w:r>
      <w:r w:rsidRPr="00767D63">
        <w:rPr>
          <w:rFonts w:eastAsia="Times New Roman"/>
          <w:i/>
        </w:rPr>
        <w:t xml:space="preserve"> муниципальных общеобразовательных организациях</w:t>
      </w:r>
      <w:r w:rsidRPr="00767D63">
        <w:rPr>
          <w:rFonts w:eastAsia="Times New Roman"/>
        </w:rPr>
        <w:t xml:space="preserve"> имеет зн</w:t>
      </w:r>
      <w:r w:rsidR="00CD52BC" w:rsidRPr="00767D63">
        <w:rPr>
          <w:rFonts w:eastAsia="Times New Roman"/>
        </w:rPr>
        <w:t xml:space="preserve">ачение выше предыдущего периода на </w:t>
      </w:r>
      <w:r w:rsidR="00FE0F30" w:rsidRPr="00767D63">
        <w:rPr>
          <w:rFonts w:eastAsia="Times New Roman"/>
        </w:rPr>
        <w:t>3,4</w:t>
      </w:r>
      <w:r w:rsidR="003063C1" w:rsidRPr="00767D63">
        <w:rPr>
          <w:rFonts w:eastAsia="Times New Roman"/>
        </w:rPr>
        <w:t xml:space="preserve"> </w:t>
      </w:r>
      <w:proofErr w:type="spellStart"/>
      <w:r w:rsidR="003063C1" w:rsidRPr="00767D63">
        <w:rPr>
          <w:rFonts w:eastAsia="Times New Roman"/>
        </w:rPr>
        <w:t>п.п</w:t>
      </w:r>
      <w:proofErr w:type="spellEnd"/>
      <w:r w:rsidR="003063C1" w:rsidRPr="00767D63">
        <w:rPr>
          <w:rFonts w:eastAsia="Times New Roman"/>
        </w:rPr>
        <w:t>.</w:t>
      </w:r>
      <w:r w:rsidR="00CD52BC" w:rsidRPr="00767D63">
        <w:rPr>
          <w:rFonts w:eastAsia="Times New Roman"/>
        </w:rPr>
        <w:t xml:space="preserve"> и составляет </w:t>
      </w:r>
      <w:r w:rsidR="00FE0F30" w:rsidRPr="00767D63">
        <w:rPr>
          <w:rFonts w:eastAsia="Times New Roman"/>
        </w:rPr>
        <w:t>80,4</w:t>
      </w:r>
      <w:r w:rsidR="00CD52BC" w:rsidRPr="00767D63">
        <w:rPr>
          <w:rFonts w:eastAsia="Times New Roman"/>
        </w:rPr>
        <w:t xml:space="preserve"> тысячи рублей. В 20</w:t>
      </w:r>
      <w:r w:rsidR="003063C1" w:rsidRPr="00767D63">
        <w:rPr>
          <w:rFonts w:eastAsia="Times New Roman"/>
        </w:rPr>
        <w:t>2</w:t>
      </w:r>
      <w:r w:rsidR="00FE0F30" w:rsidRPr="00767D63">
        <w:rPr>
          <w:rFonts w:eastAsia="Times New Roman"/>
        </w:rPr>
        <w:t>1</w:t>
      </w:r>
      <w:r w:rsidR="00CD52BC" w:rsidRPr="00767D63">
        <w:rPr>
          <w:rFonts w:eastAsia="Times New Roman"/>
        </w:rPr>
        <w:t>-202</w:t>
      </w:r>
      <w:r w:rsidR="00FE0F30" w:rsidRPr="00767D63">
        <w:rPr>
          <w:rFonts w:eastAsia="Times New Roman"/>
        </w:rPr>
        <w:t>3</w:t>
      </w:r>
      <w:r w:rsidR="00CD52BC" w:rsidRPr="00767D63">
        <w:rPr>
          <w:rFonts w:eastAsia="Times New Roman"/>
        </w:rPr>
        <w:t xml:space="preserve"> годы планируется </w:t>
      </w:r>
      <w:r w:rsidR="00FE0F30" w:rsidRPr="00767D63">
        <w:rPr>
          <w:rFonts w:eastAsia="Times New Roman"/>
        </w:rPr>
        <w:t>увеличить</w:t>
      </w:r>
      <w:r w:rsidR="00CD52BC" w:rsidRPr="00767D63">
        <w:rPr>
          <w:rFonts w:eastAsia="Times New Roman"/>
        </w:rPr>
        <w:t xml:space="preserve"> значение показателя. </w:t>
      </w:r>
    </w:p>
    <w:p w:rsidR="001C35CE" w:rsidRPr="00767D63" w:rsidRDefault="00B81807" w:rsidP="00291887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В рамках реализации  федерального и регионального  проектов «Современная школа» Национального проекта «Образование»  в 20</w:t>
      </w:r>
      <w:r w:rsidR="001C35CE" w:rsidRPr="00767D63">
        <w:rPr>
          <w:rFonts w:eastAsia="Times New Roman"/>
        </w:rPr>
        <w:t>20</w:t>
      </w:r>
      <w:r w:rsidRPr="00767D63">
        <w:rPr>
          <w:rFonts w:eastAsia="Times New Roman"/>
        </w:rPr>
        <w:t xml:space="preserve"> году:</w:t>
      </w:r>
    </w:p>
    <w:p w:rsidR="001C35CE" w:rsidRPr="00767D63" w:rsidRDefault="001C35CE" w:rsidP="00495C98">
      <w:pPr>
        <w:pStyle w:val="a9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Введена в эксплуа</w:t>
      </w:r>
      <w:r w:rsidR="00291887" w:rsidRPr="00767D63">
        <w:rPr>
          <w:rFonts w:ascii="Times New Roman" w:hAnsi="Times New Roman"/>
          <w:sz w:val="24"/>
          <w:szCs w:val="24"/>
        </w:rPr>
        <w:t xml:space="preserve">тацию школа на 600 мест по ул. </w:t>
      </w:r>
      <w:proofErr w:type="spellStart"/>
      <w:r w:rsidR="00291887" w:rsidRPr="00767D63">
        <w:rPr>
          <w:rFonts w:ascii="Times New Roman" w:hAnsi="Times New Roman"/>
          <w:sz w:val="24"/>
          <w:szCs w:val="24"/>
        </w:rPr>
        <w:t>Новозатонская</w:t>
      </w:r>
      <w:proofErr w:type="spellEnd"/>
      <w:r w:rsidR="00291887" w:rsidRPr="00767D6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91887" w:rsidRPr="00767D63">
        <w:rPr>
          <w:rFonts w:ascii="Times New Roman" w:hAnsi="Times New Roman"/>
          <w:sz w:val="24"/>
          <w:szCs w:val="24"/>
        </w:rPr>
        <w:t>п.г.т</w:t>
      </w:r>
      <w:proofErr w:type="spellEnd"/>
      <w:r w:rsidR="00291887" w:rsidRPr="00767D63">
        <w:rPr>
          <w:rFonts w:ascii="Times New Roman" w:hAnsi="Times New Roman"/>
          <w:sz w:val="24"/>
          <w:szCs w:val="24"/>
        </w:rPr>
        <w:t>. Краснозатонский;</w:t>
      </w:r>
    </w:p>
    <w:p w:rsidR="00291887" w:rsidRPr="00767D63" w:rsidRDefault="00291887" w:rsidP="00495C98">
      <w:pPr>
        <w:pStyle w:val="a9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Велись работы по изъятию земельных участков для строительства корпуса школы на 600 мест в районе улиц Орджоникидзе - Карла Маркса - Красных партизан;</w:t>
      </w:r>
    </w:p>
    <w:p w:rsidR="00291887" w:rsidRPr="00767D63" w:rsidRDefault="00291887" w:rsidP="00495C98">
      <w:pPr>
        <w:pStyle w:val="a9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 xml:space="preserve">Заключен контракт на разработку проектной и рабочей документации (привязка проекта из реестра экономически эффективной проектной документации) школы по ул. 1-я линия, 4 </w:t>
      </w:r>
      <w:proofErr w:type="spellStart"/>
      <w:r w:rsidRPr="00767D63">
        <w:rPr>
          <w:rFonts w:ascii="Times New Roman" w:hAnsi="Times New Roman"/>
          <w:sz w:val="24"/>
          <w:szCs w:val="24"/>
        </w:rPr>
        <w:t>мкр</w:t>
      </w:r>
      <w:proofErr w:type="spellEnd"/>
      <w:r w:rsidRPr="00767D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7D63">
        <w:rPr>
          <w:rFonts w:ascii="Times New Roman" w:hAnsi="Times New Roman"/>
          <w:sz w:val="24"/>
          <w:szCs w:val="24"/>
        </w:rPr>
        <w:t>Емваль</w:t>
      </w:r>
      <w:proofErr w:type="spellEnd"/>
      <w:r w:rsidRPr="00767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D63">
        <w:rPr>
          <w:rFonts w:ascii="Times New Roman" w:hAnsi="Times New Roman"/>
          <w:sz w:val="24"/>
          <w:szCs w:val="24"/>
        </w:rPr>
        <w:t>Эжвинского</w:t>
      </w:r>
      <w:proofErr w:type="spellEnd"/>
      <w:r w:rsidRPr="00767D63">
        <w:rPr>
          <w:rFonts w:ascii="Times New Roman" w:hAnsi="Times New Roman"/>
          <w:sz w:val="24"/>
          <w:szCs w:val="24"/>
        </w:rPr>
        <w:t xml:space="preserve"> района;</w:t>
      </w:r>
    </w:p>
    <w:p w:rsidR="00291887" w:rsidRPr="00767D63" w:rsidRDefault="00291887" w:rsidP="00495C98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lastRenderedPageBreak/>
        <w:t>В МАУДО «Дворец творчества детей и учащейся молодежи» создано 60 новых мест для реализации дополнительных общеразвивающих программ всех направленностей, приобретено оборудование для 3D моделирования.</w:t>
      </w:r>
    </w:p>
    <w:p w:rsidR="00FE0F30" w:rsidRPr="00767D63" w:rsidRDefault="00CD52BC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>Показатель «</w:t>
      </w:r>
      <w:r w:rsidRPr="00767D63">
        <w:rPr>
          <w:rFonts w:eastAsia="Times New Roman"/>
          <w:i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767D63">
        <w:rPr>
          <w:rFonts w:eastAsia="Times New Roman"/>
        </w:rPr>
        <w:t xml:space="preserve">» за отчетный год </w:t>
      </w:r>
      <w:r w:rsidR="00FE0F30" w:rsidRPr="00767D63">
        <w:rPr>
          <w:rFonts w:eastAsia="Times New Roman"/>
        </w:rPr>
        <w:t xml:space="preserve">уменьшился </w:t>
      </w:r>
      <w:r w:rsidRPr="00767D63">
        <w:rPr>
          <w:rFonts w:eastAsia="Times New Roman"/>
        </w:rPr>
        <w:t xml:space="preserve">на </w:t>
      </w:r>
      <w:r w:rsidR="00FE0F30" w:rsidRPr="00767D63">
        <w:rPr>
          <w:rFonts w:eastAsia="Times New Roman"/>
        </w:rPr>
        <w:t>1%</w:t>
      </w:r>
      <w:r w:rsidRPr="00767D63">
        <w:rPr>
          <w:rFonts w:eastAsia="Times New Roman"/>
        </w:rPr>
        <w:t xml:space="preserve"> и составил 7</w:t>
      </w:r>
      <w:r w:rsidR="00FE0F30" w:rsidRPr="00767D63">
        <w:rPr>
          <w:rFonts w:eastAsia="Times New Roman"/>
        </w:rPr>
        <w:t>7</w:t>
      </w:r>
      <w:r w:rsidRPr="00767D63">
        <w:rPr>
          <w:rFonts w:eastAsia="Times New Roman"/>
        </w:rPr>
        <w:t>%</w:t>
      </w:r>
      <w:r w:rsidR="00FE0F30" w:rsidRPr="00767D63">
        <w:rPr>
          <w:rFonts w:eastAsia="Times New Roman"/>
        </w:rPr>
        <w:t>, ввиду уменьшения охвата услугами дополнительного образования детей в возрасте от 5 до 7 лет.</w:t>
      </w:r>
      <w:proofErr w:type="gramEnd"/>
      <w:r w:rsidR="00FE0F30" w:rsidRPr="00767D63">
        <w:rPr>
          <w:rFonts w:eastAsia="Times New Roman"/>
        </w:rPr>
        <w:t xml:space="preserve">  </w:t>
      </w:r>
      <w:proofErr w:type="gramStart"/>
      <w:r w:rsidR="00FE0F30" w:rsidRPr="00767D63">
        <w:rPr>
          <w:rFonts w:eastAsia="Times New Roman"/>
        </w:rPr>
        <w:t>В условиях действующих ограничений занятия в смешенных группах в дошкольных образовательных учреждения не проводятся.</w:t>
      </w:r>
      <w:proofErr w:type="gramEnd"/>
    </w:p>
    <w:p w:rsidR="00D465E9" w:rsidRPr="00767D63" w:rsidRDefault="00D465E9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В 2020 году участниками системы персонифицированного финансирования дополнительного образования детей стали 114 муниципальных организации (114- в 2019 году), 17 организаций-поставщиков образовательных услуг являются участниками проекта «Предоставление услуг в рамках системы персонифицированного финансирования», из них 5 индивидуальных предпринимателей. </w:t>
      </w:r>
    </w:p>
    <w:p w:rsidR="00D465E9" w:rsidRPr="00767D63" w:rsidRDefault="00D465E9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На территории МО ГО «Сыктывкар» выдано 32 855 сертификатов дополнительного образования. Доля детей в муниципальном образовании, получивших сертификаты дополнительного образования, составила 76% от общего количества детей в муниципальном образовании в возрасте от 5 до 18 лет. </w:t>
      </w:r>
    </w:p>
    <w:p w:rsidR="00CD52BC" w:rsidRPr="00767D63" w:rsidRDefault="00CD52BC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 xml:space="preserve">Плановая работа администрации позволит в ближайшие 3 года </w:t>
      </w:r>
      <w:r w:rsidR="00D465E9" w:rsidRPr="00767D63">
        <w:rPr>
          <w:rFonts w:eastAsia="Times New Roman"/>
        </w:rPr>
        <w:t>повысить</w:t>
      </w:r>
      <w:r w:rsidRPr="00767D63">
        <w:rPr>
          <w:rFonts w:eastAsia="Times New Roman"/>
        </w:rPr>
        <w:t xml:space="preserve"> значение показателя. </w:t>
      </w:r>
      <w:proofErr w:type="gramEnd"/>
    </w:p>
    <w:p w:rsidR="00656891" w:rsidRPr="00767D63" w:rsidRDefault="006C63D7" w:rsidP="008038E7">
      <w:pPr>
        <w:ind w:firstLine="709"/>
        <w:jc w:val="both"/>
        <w:rPr>
          <w:b/>
          <w:highlight w:val="yellow"/>
        </w:rPr>
      </w:pPr>
      <w:r w:rsidRPr="00767D63">
        <w:rPr>
          <w:rFonts w:eastAsia="Times New Roman"/>
          <w:highlight w:val="yellow"/>
        </w:rPr>
        <w:t xml:space="preserve"> </w:t>
      </w:r>
    </w:p>
    <w:p w:rsidR="003864E6" w:rsidRPr="00767D63" w:rsidRDefault="00CD52BC" w:rsidP="008038E7">
      <w:pPr>
        <w:jc w:val="center"/>
        <w:outlineLvl w:val="0"/>
        <w:rPr>
          <w:b/>
        </w:rPr>
      </w:pPr>
      <w:r w:rsidRPr="00767D63">
        <w:rPr>
          <w:b/>
        </w:rPr>
        <w:t xml:space="preserve">4. </w:t>
      </w:r>
      <w:r w:rsidR="003864E6" w:rsidRPr="00767D63">
        <w:rPr>
          <w:b/>
        </w:rPr>
        <w:t>Культура</w:t>
      </w:r>
    </w:p>
    <w:p w:rsidR="005F2D19" w:rsidRPr="00767D63" w:rsidRDefault="005F2D19" w:rsidP="008038E7">
      <w:pPr>
        <w:jc w:val="center"/>
        <w:rPr>
          <w:b/>
          <w:highlight w:val="yellow"/>
        </w:rPr>
      </w:pPr>
    </w:p>
    <w:p w:rsidR="005F2D19" w:rsidRPr="00767D63" w:rsidRDefault="00DF3845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 xml:space="preserve">Значение показателя </w:t>
      </w:r>
      <w:r w:rsidRPr="00767D63">
        <w:rPr>
          <w:rFonts w:ascii="Times New Roman" w:hAnsi="Times New Roman"/>
          <w:i/>
          <w:sz w:val="24"/>
          <w:szCs w:val="24"/>
        </w:rPr>
        <w:t>«Уровень обеспеченности клубами и учреждениями клубного типа»</w:t>
      </w:r>
      <w:r w:rsidRPr="00767D63">
        <w:rPr>
          <w:rFonts w:ascii="Times New Roman" w:hAnsi="Times New Roman"/>
          <w:sz w:val="24"/>
          <w:szCs w:val="24"/>
        </w:rPr>
        <w:t xml:space="preserve"> составило в 20</w:t>
      </w:r>
      <w:r w:rsidR="00D06D16" w:rsidRPr="00767D63">
        <w:rPr>
          <w:rFonts w:ascii="Times New Roman" w:hAnsi="Times New Roman"/>
          <w:sz w:val="24"/>
          <w:szCs w:val="24"/>
        </w:rPr>
        <w:t>20</w:t>
      </w:r>
      <w:r w:rsidRPr="00767D63">
        <w:rPr>
          <w:rFonts w:ascii="Times New Roman" w:hAnsi="Times New Roman"/>
          <w:sz w:val="24"/>
          <w:szCs w:val="24"/>
        </w:rPr>
        <w:t xml:space="preserve"> году 100%. Исходя из действующей методики расчета показателя, потребность города составляет 2,6 учреждения, при фактическом значении – 11 учреждений. </w:t>
      </w:r>
      <w:r w:rsidR="005F2D19" w:rsidRPr="00767D63">
        <w:rPr>
          <w:rFonts w:ascii="Times New Roman" w:hAnsi="Times New Roman"/>
          <w:sz w:val="24"/>
          <w:szCs w:val="24"/>
        </w:rPr>
        <w:t xml:space="preserve">На базе муниципальных учреждений клубного типа продолжили свою деятельность </w:t>
      </w:r>
      <w:r w:rsidR="00702F05" w:rsidRPr="00767D63">
        <w:rPr>
          <w:rFonts w:ascii="Times New Roman" w:hAnsi="Times New Roman"/>
          <w:sz w:val="24"/>
          <w:szCs w:val="24"/>
        </w:rPr>
        <w:t>19</w:t>
      </w:r>
      <w:r w:rsidR="00D06D16" w:rsidRPr="00767D63">
        <w:rPr>
          <w:rFonts w:ascii="Times New Roman" w:hAnsi="Times New Roman"/>
          <w:sz w:val="24"/>
          <w:szCs w:val="24"/>
        </w:rPr>
        <w:t>4</w:t>
      </w:r>
      <w:r w:rsidR="005F2D19" w:rsidRPr="00767D63">
        <w:rPr>
          <w:rFonts w:ascii="Times New Roman" w:hAnsi="Times New Roman"/>
          <w:sz w:val="24"/>
          <w:szCs w:val="24"/>
        </w:rPr>
        <w:t xml:space="preserve"> клубных формирований с общей численностью занимающихся </w:t>
      </w:r>
      <w:r w:rsidR="00702F05" w:rsidRPr="00767D63">
        <w:rPr>
          <w:rFonts w:ascii="Times New Roman" w:hAnsi="Times New Roman"/>
          <w:sz w:val="24"/>
          <w:szCs w:val="24"/>
        </w:rPr>
        <w:t>4 0</w:t>
      </w:r>
      <w:r w:rsidR="00D06D16" w:rsidRPr="00767D63">
        <w:rPr>
          <w:rFonts w:ascii="Times New Roman" w:hAnsi="Times New Roman"/>
          <w:sz w:val="24"/>
          <w:szCs w:val="24"/>
        </w:rPr>
        <w:t>37</w:t>
      </w:r>
      <w:r w:rsidR="005F2D19" w:rsidRPr="00767D63">
        <w:rPr>
          <w:rFonts w:ascii="Times New Roman" w:hAnsi="Times New Roman"/>
          <w:sz w:val="24"/>
          <w:szCs w:val="24"/>
        </w:rPr>
        <w:t xml:space="preserve"> человек</w:t>
      </w:r>
      <w:r w:rsidR="00DD7BE9" w:rsidRPr="00767D63">
        <w:rPr>
          <w:rFonts w:ascii="Times New Roman" w:hAnsi="Times New Roman"/>
          <w:sz w:val="24"/>
          <w:szCs w:val="24"/>
        </w:rPr>
        <w:t xml:space="preserve">. </w:t>
      </w:r>
      <w:r w:rsidR="005F2D19" w:rsidRPr="00767D63">
        <w:rPr>
          <w:rFonts w:ascii="Times New Roman" w:hAnsi="Times New Roman"/>
          <w:sz w:val="24"/>
          <w:szCs w:val="24"/>
        </w:rPr>
        <w:t xml:space="preserve">Основная направленность работы клубных формирований – это кружки и студии, клубы по интересам и творческие объединения, коллективы художественной самодеятельности, спортивные, театральные и т.д. Самые популярные и многочисленные – хоровые и танцевальные коллективы. В плановом периоде работа будет продолжена – в целях сохранения значения показателя. </w:t>
      </w:r>
    </w:p>
    <w:p w:rsidR="005F2D19" w:rsidRPr="00767D63" w:rsidRDefault="0052121A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7D63">
        <w:rPr>
          <w:rFonts w:ascii="Times New Roman" w:hAnsi="Times New Roman"/>
          <w:sz w:val="24"/>
          <w:szCs w:val="24"/>
        </w:rPr>
        <w:t>Значение показателя «</w:t>
      </w:r>
      <w:r w:rsidRPr="00767D63">
        <w:rPr>
          <w:rFonts w:ascii="Times New Roman" w:hAnsi="Times New Roman"/>
          <w:i/>
          <w:sz w:val="24"/>
          <w:szCs w:val="24"/>
        </w:rPr>
        <w:t>Уровень обеспеченности библиотеками</w:t>
      </w:r>
      <w:r w:rsidRPr="00767D63">
        <w:rPr>
          <w:rFonts w:ascii="Times New Roman" w:hAnsi="Times New Roman"/>
          <w:sz w:val="24"/>
          <w:szCs w:val="24"/>
        </w:rPr>
        <w:t>» составил</w:t>
      </w:r>
      <w:r w:rsidR="005F2D19" w:rsidRPr="00767D63">
        <w:rPr>
          <w:rFonts w:ascii="Times New Roman" w:hAnsi="Times New Roman"/>
          <w:sz w:val="24"/>
          <w:szCs w:val="24"/>
        </w:rPr>
        <w:t>о</w:t>
      </w:r>
      <w:r w:rsidRPr="00767D63">
        <w:rPr>
          <w:rFonts w:ascii="Times New Roman" w:hAnsi="Times New Roman"/>
          <w:sz w:val="24"/>
          <w:szCs w:val="24"/>
        </w:rPr>
        <w:t xml:space="preserve"> </w:t>
      </w:r>
      <w:r w:rsidR="005F2D19" w:rsidRPr="00767D63">
        <w:rPr>
          <w:rFonts w:ascii="Times New Roman" w:hAnsi="Times New Roman"/>
          <w:sz w:val="24"/>
          <w:szCs w:val="24"/>
        </w:rPr>
        <w:t>100%. При нормативной потребности 1</w:t>
      </w:r>
      <w:r w:rsidR="00D06D16" w:rsidRPr="00767D63">
        <w:rPr>
          <w:rFonts w:ascii="Times New Roman" w:hAnsi="Times New Roman"/>
          <w:sz w:val="24"/>
          <w:szCs w:val="24"/>
        </w:rPr>
        <w:t>6</w:t>
      </w:r>
      <w:r w:rsidR="005F2D19" w:rsidRPr="00767D63">
        <w:rPr>
          <w:rFonts w:ascii="Times New Roman" w:hAnsi="Times New Roman"/>
          <w:sz w:val="24"/>
          <w:szCs w:val="24"/>
        </w:rPr>
        <w:t>,3 библиотек в МО ГО «Сыктывкар» функционируют 2 централизованные библиотечные системы с 2</w:t>
      </w:r>
      <w:r w:rsidR="00702F05" w:rsidRPr="00767D63">
        <w:rPr>
          <w:rFonts w:ascii="Times New Roman" w:hAnsi="Times New Roman"/>
          <w:sz w:val="24"/>
          <w:szCs w:val="24"/>
        </w:rPr>
        <w:t>2</w:t>
      </w:r>
      <w:r w:rsidR="005F2D19" w:rsidRPr="00767D63">
        <w:rPr>
          <w:rFonts w:ascii="Times New Roman" w:hAnsi="Times New Roman"/>
          <w:sz w:val="24"/>
          <w:szCs w:val="24"/>
        </w:rPr>
        <w:t xml:space="preserve"> филиалами.</w:t>
      </w:r>
      <w:r w:rsidR="005F2D19" w:rsidRPr="00767D63">
        <w:t xml:space="preserve"> </w:t>
      </w:r>
      <w:r w:rsidR="005F2D19" w:rsidRPr="00767D63">
        <w:rPr>
          <w:rFonts w:ascii="Times New Roman" w:hAnsi="Times New Roman"/>
          <w:sz w:val="24"/>
          <w:szCs w:val="24"/>
        </w:rPr>
        <w:t>Число читателей в 20</w:t>
      </w:r>
      <w:r w:rsidR="00D06D16" w:rsidRPr="00767D63">
        <w:rPr>
          <w:rFonts w:ascii="Times New Roman" w:hAnsi="Times New Roman"/>
          <w:sz w:val="24"/>
          <w:szCs w:val="24"/>
        </w:rPr>
        <w:t>20</w:t>
      </w:r>
      <w:r w:rsidR="005F2D19" w:rsidRPr="00767D63">
        <w:rPr>
          <w:rFonts w:ascii="Times New Roman" w:hAnsi="Times New Roman"/>
          <w:sz w:val="24"/>
          <w:szCs w:val="24"/>
        </w:rPr>
        <w:t xml:space="preserve"> году составило </w:t>
      </w:r>
      <w:r w:rsidR="00D06D16" w:rsidRPr="00767D63">
        <w:rPr>
          <w:rFonts w:ascii="Times New Roman" w:hAnsi="Times New Roman"/>
          <w:sz w:val="24"/>
          <w:szCs w:val="24"/>
        </w:rPr>
        <w:t>34,95</w:t>
      </w:r>
      <w:r w:rsidR="00702F05" w:rsidRPr="00767D63">
        <w:rPr>
          <w:rFonts w:ascii="Times New Roman" w:hAnsi="Times New Roman"/>
          <w:sz w:val="24"/>
          <w:szCs w:val="24"/>
        </w:rPr>
        <w:t xml:space="preserve"> </w:t>
      </w:r>
      <w:r w:rsidR="005F2D19" w:rsidRPr="00767D63">
        <w:rPr>
          <w:rFonts w:ascii="Times New Roman" w:hAnsi="Times New Roman"/>
          <w:sz w:val="24"/>
          <w:szCs w:val="24"/>
        </w:rPr>
        <w:t>тыс. человек</w:t>
      </w:r>
      <w:r w:rsidR="00702F05" w:rsidRPr="00767D63">
        <w:rPr>
          <w:rFonts w:ascii="Times New Roman" w:hAnsi="Times New Roman"/>
          <w:sz w:val="24"/>
          <w:szCs w:val="24"/>
        </w:rPr>
        <w:t xml:space="preserve">, число посещений библиотек составило </w:t>
      </w:r>
      <w:r w:rsidR="00D06D16" w:rsidRPr="00767D63">
        <w:rPr>
          <w:rFonts w:ascii="Times New Roman" w:hAnsi="Times New Roman"/>
          <w:sz w:val="24"/>
          <w:szCs w:val="24"/>
        </w:rPr>
        <w:t>218,55</w:t>
      </w:r>
      <w:r w:rsidR="00702F05" w:rsidRPr="00767D63">
        <w:rPr>
          <w:rFonts w:ascii="Times New Roman" w:hAnsi="Times New Roman"/>
          <w:sz w:val="24"/>
          <w:szCs w:val="24"/>
        </w:rPr>
        <w:t xml:space="preserve"> тыс</w:t>
      </w:r>
      <w:r w:rsidR="005F2D19" w:rsidRPr="00767D63">
        <w:rPr>
          <w:rFonts w:ascii="Times New Roman" w:hAnsi="Times New Roman"/>
          <w:sz w:val="24"/>
          <w:szCs w:val="24"/>
        </w:rPr>
        <w:t xml:space="preserve">. </w:t>
      </w:r>
      <w:r w:rsidR="00702F05" w:rsidRPr="00767D63">
        <w:rPr>
          <w:rFonts w:ascii="Times New Roman" w:hAnsi="Times New Roman"/>
          <w:sz w:val="24"/>
          <w:szCs w:val="24"/>
        </w:rPr>
        <w:t xml:space="preserve">Библиотечные фонды составили </w:t>
      </w:r>
      <w:r w:rsidR="00D06D16" w:rsidRPr="00767D63">
        <w:rPr>
          <w:rFonts w:ascii="Times New Roman" w:hAnsi="Times New Roman"/>
          <w:sz w:val="24"/>
          <w:szCs w:val="24"/>
        </w:rPr>
        <w:t>456,85</w:t>
      </w:r>
      <w:r w:rsidR="00702F05" w:rsidRPr="00767D63">
        <w:rPr>
          <w:rFonts w:ascii="Times New Roman" w:hAnsi="Times New Roman"/>
          <w:sz w:val="24"/>
          <w:szCs w:val="24"/>
        </w:rPr>
        <w:t xml:space="preserve"> тыс. экземпляров, на комплектование библиотечных фондов было выделено 1,6 млн. руб. из разных уровней бюджетной системы РФ. </w:t>
      </w:r>
      <w:r w:rsidR="005F2D19" w:rsidRPr="00767D63">
        <w:rPr>
          <w:rFonts w:ascii="Times New Roman" w:hAnsi="Times New Roman"/>
          <w:sz w:val="24"/>
          <w:szCs w:val="24"/>
        </w:rPr>
        <w:t>В плановом периоде работа будет продолжена – в целях сохранения значения показателя.</w:t>
      </w:r>
    </w:p>
    <w:p w:rsidR="00747663" w:rsidRPr="00767D63" w:rsidRDefault="008C6E1D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7D63">
        <w:rPr>
          <w:rFonts w:ascii="Times New Roman" w:hAnsi="Times New Roman"/>
          <w:i/>
          <w:sz w:val="24"/>
          <w:szCs w:val="24"/>
        </w:rPr>
        <w:t>Уровень фактической обеспечен</w:t>
      </w:r>
      <w:r w:rsidR="00086785" w:rsidRPr="00767D63">
        <w:rPr>
          <w:rFonts w:ascii="Times New Roman" w:hAnsi="Times New Roman"/>
          <w:i/>
          <w:sz w:val="24"/>
          <w:szCs w:val="24"/>
        </w:rPr>
        <w:t>ности парками культуры и отдыха</w:t>
      </w:r>
      <w:r w:rsidR="005F2D19" w:rsidRPr="00767D63">
        <w:rPr>
          <w:rFonts w:ascii="Times New Roman" w:hAnsi="Times New Roman"/>
          <w:sz w:val="24"/>
          <w:szCs w:val="24"/>
        </w:rPr>
        <w:t xml:space="preserve"> составляет </w:t>
      </w:r>
      <w:r w:rsidR="00DB2131">
        <w:rPr>
          <w:rFonts w:ascii="Times New Roman" w:hAnsi="Times New Roman"/>
          <w:sz w:val="24"/>
          <w:szCs w:val="24"/>
        </w:rPr>
        <w:t>45,98</w:t>
      </w:r>
      <w:r w:rsidR="005F2D19" w:rsidRPr="00767D63">
        <w:rPr>
          <w:rFonts w:ascii="Times New Roman" w:hAnsi="Times New Roman"/>
          <w:sz w:val="24"/>
          <w:szCs w:val="24"/>
        </w:rPr>
        <w:t>%</w:t>
      </w:r>
      <w:r w:rsidR="00086785" w:rsidRPr="00767D63">
        <w:rPr>
          <w:rFonts w:ascii="Times New Roman" w:hAnsi="Times New Roman"/>
          <w:sz w:val="24"/>
          <w:szCs w:val="24"/>
        </w:rPr>
        <w:t xml:space="preserve">: в </w:t>
      </w:r>
      <w:r w:rsidR="0052121A" w:rsidRPr="00767D63">
        <w:rPr>
          <w:rFonts w:ascii="Times New Roman" w:hAnsi="Times New Roman"/>
          <w:sz w:val="24"/>
          <w:szCs w:val="24"/>
        </w:rPr>
        <w:t xml:space="preserve">МО ГО </w:t>
      </w:r>
      <w:r w:rsidRPr="00767D63">
        <w:rPr>
          <w:rFonts w:ascii="Times New Roman" w:hAnsi="Times New Roman"/>
          <w:sz w:val="24"/>
          <w:szCs w:val="24"/>
        </w:rPr>
        <w:t>«</w:t>
      </w:r>
      <w:r w:rsidR="0052121A" w:rsidRPr="00767D63">
        <w:rPr>
          <w:rFonts w:ascii="Times New Roman" w:hAnsi="Times New Roman"/>
          <w:sz w:val="24"/>
          <w:szCs w:val="24"/>
        </w:rPr>
        <w:t>Сыктывкар</w:t>
      </w:r>
      <w:r w:rsidRPr="00767D63">
        <w:rPr>
          <w:rFonts w:ascii="Times New Roman" w:hAnsi="Times New Roman"/>
          <w:sz w:val="24"/>
          <w:szCs w:val="24"/>
        </w:rPr>
        <w:t>»</w:t>
      </w:r>
      <w:r w:rsidR="0052121A" w:rsidRPr="00767D63">
        <w:rPr>
          <w:rFonts w:ascii="Times New Roman" w:hAnsi="Times New Roman"/>
          <w:sz w:val="24"/>
          <w:szCs w:val="24"/>
        </w:rPr>
        <w:t xml:space="preserve"> официально существует </w:t>
      </w:r>
      <w:r w:rsidR="00DB2131">
        <w:rPr>
          <w:rFonts w:ascii="Times New Roman" w:hAnsi="Times New Roman"/>
          <w:sz w:val="24"/>
          <w:szCs w:val="24"/>
        </w:rPr>
        <w:t>4</w:t>
      </w:r>
      <w:r w:rsidR="0052121A" w:rsidRPr="00767D63">
        <w:rPr>
          <w:rFonts w:ascii="Times New Roman" w:hAnsi="Times New Roman"/>
          <w:sz w:val="24"/>
          <w:szCs w:val="24"/>
        </w:rPr>
        <w:t xml:space="preserve"> городских парка (парк им. Кирова, Мичуринский парк</w:t>
      </w:r>
      <w:r w:rsidR="005F2D19" w:rsidRPr="00767D63">
        <w:rPr>
          <w:rFonts w:ascii="Times New Roman" w:hAnsi="Times New Roman"/>
          <w:sz w:val="24"/>
          <w:szCs w:val="24"/>
        </w:rPr>
        <w:t>, парк Менделеева</w:t>
      </w:r>
      <w:r w:rsidR="00DB2131">
        <w:rPr>
          <w:rFonts w:ascii="Times New Roman" w:hAnsi="Times New Roman"/>
          <w:sz w:val="24"/>
          <w:szCs w:val="24"/>
        </w:rPr>
        <w:t>, парк «Строитель»</w:t>
      </w:r>
      <w:r w:rsidR="005F2D19" w:rsidRPr="00767D63">
        <w:rPr>
          <w:rFonts w:ascii="Times New Roman" w:hAnsi="Times New Roman"/>
          <w:sz w:val="24"/>
          <w:szCs w:val="24"/>
        </w:rPr>
        <w:t>)</w:t>
      </w:r>
      <w:r w:rsidR="0052121A" w:rsidRPr="00767D63">
        <w:rPr>
          <w:rFonts w:ascii="Times New Roman" w:hAnsi="Times New Roman"/>
          <w:sz w:val="24"/>
          <w:szCs w:val="24"/>
        </w:rPr>
        <w:t>.</w:t>
      </w:r>
      <w:r w:rsidR="00086785" w:rsidRPr="00767D63">
        <w:rPr>
          <w:rFonts w:ascii="Times New Roman" w:hAnsi="Times New Roman"/>
          <w:sz w:val="24"/>
          <w:szCs w:val="24"/>
        </w:rPr>
        <w:t xml:space="preserve"> </w:t>
      </w:r>
      <w:r w:rsidRPr="00767D63">
        <w:rPr>
          <w:rFonts w:ascii="Times New Roman" w:hAnsi="Times New Roman"/>
          <w:sz w:val="24"/>
          <w:szCs w:val="24"/>
        </w:rPr>
        <w:t xml:space="preserve">С </w:t>
      </w:r>
      <w:r w:rsidR="0052121A" w:rsidRPr="00767D63">
        <w:rPr>
          <w:rFonts w:ascii="Times New Roman" w:hAnsi="Times New Roman"/>
          <w:sz w:val="24"/>
          <w:szCs w:val="24"/>
        </w:rPr>
        <w:t>2018</w:t>
      </w:r>
      <w:r w:rsidRPr="00767D63">
        <w:rPr>
          <w:rFonts w:ascii="Times New Roman" w:hAnsi="Times New Roman"/>
          <w:sz w:val="24"/>
          <w:szCs w:val="24"/>
        </w:rPr>
        <w:t xml:space="preserve"> </w:t>
      </w:r>
      <w:r w:rsidR="0052121A" w:rsidRPr="00767D63">
        <w:rPr>
          <w:rFonts w:ascii="Times New Roman" w:hAnsi="Times New Roman"/>
          <w:sz w:val="24"/>
          <w:szCs w:val="24"/>
        </w:rPr>
        <w:t>г</w:t>
      </w:r>
      <w:r w:rsidRPr="00767D63">
        <w:rPr>
          <w:rFonts w:ascii="Times New Roman" w:hAnsi="Times New Roman"/>
          <w:sz w:val="24"/>
          <w:szCs w:val="24"/>
        </w:rPr>
        <w:t>од</w:t>
      </w:r>
      <w:r w:rsidR="00FF0806" w:rsidRPr="00767D63">
        <w:rPr>
          <w:rFonts w:ascii="Times New Roman" w:hAnsi="Times New Roman"/>
          <w:sz w:val="24"/>
          <w:szCs w:val="24"/>
        </w:rPr>
        <w:t>а</w:t>
      </w:r>
      <w:r w:rsidRPr="00767D63">
        <w:rPr>
          <w:rFonts w:ascii="Times New Roman" w:hAnsi="Times New Roman"/>
          <w:sz w:val="24"/>
          <w:szCs w:val="24"/>
        </w:rPr>
        <w:t xml:space="preserve"> с</w:t>
      </w:r>
      <w:r w:rsidR="0052121A" w:rsidRPr="00767D63">
        <w:rPr>
          <w:rFonts w:ascii="Times New Roman" w:hAnsi="Times New Roman"/>
          <w:sz w:val="24"/>
          <w:szCs w:val="24"/>
        </w:rPr>
        <w:t>огласно нов</w:t>
      </w:r>
      <w:r w:rsidR="00086785" w:rsidRPr="00767D63">
        <w:rPr>
          <w:rFonts w:ascii="Times New Roman" w:hAnsi="Times New Roman"/>
          <w:sz w:val="24"/>
          <w:szCs w:val="24"/>
        </w:rPr>
        <w:t>ой методике расчета показателя норма д</w:t>
      </w:r>
      <w:r w:rsidR="0052121A" w:rsidRPr="00767D63">
        <w:rPr>
          <w:rFonts w:ascii="Times New Roman" w:hAnsi="Times New Roman"/>
          <w:sz w:val="24"/>
          <w:szCs w:val="24"/>
        </w:rPr>
        <w:t>ля городского округа 1</w:t>
      </w:r>
      <w:r w:rsidR="00086785" w:rsidRPr="00767D63">
        <w:rPr>
          <w:rFonts w:ascii="Times New Roman" w:hAnsi="Times New Roman"/>
          <w:sz w:val="24"/>
          <w:szCs w:val="24"/>
        </w:rPr>
        <w:t xml:space="preserve"> ед.</w:t>
      </w:r>
      <w:r w:rsidR="0052121A" w:rsidRPr="00767D63">
        <w:rPr>
          <w:rFonts w:ascii="Times New Roman" w:hAnsi="Times New Roman"/>
          <w:sz w:val="24"/>
          <w:szCs w:val="24"/>
        </w:rPr>
        <w:t xml:space="preserve"> на 30 тыс. чел. </w:t>
      </w:r>
      <w:r w:rsidR="00086785" w:rsidRPr="00767D63">
        <w:rPr>
          <w:rFonts w:ascii="Times New Roman" w:hAnsi="Times New Roman"/>
          <w:sz w:val="24"/>
          <w:szCs w:val="24"/>
        </w:rPr>
        <w:t>населения: потребность по МО ГО «Сыктывкар» - 8</w:t>
      </w:r>
      <w:r w:rsidR="005F2D19" w:rsidRPr="00767D63">
        <w:rPr>
          <w:rFonts w:ascii="Times New Roman" w:hAnsi="Times New Roman"/>
          <w:sz w:val="24"/>
          <w:szCs w:val="24"/>
        </w:rPr>
        <w:t>,7</w:t>
      </w:r>
      <w:r w:rsidR="00086785" w:rsidRPr="00767D63">
        <w:rPr>
          <w:rFonts w:ascii="Times New Roman" w:hAnsi="Times New Roman"/>
          <w:sz w:val="24"/>
          <w:szCs w:val="24"/>
        </w:rPr>
        <w:t xml:space="preserve"> парков. Поскольку в плановом периоде не предусмотрено создание новых парковых зон,</w:t>
      </w:r>
      <w:r w:rsidR="0052121A" w:rsidRPr="00767D63">
        <w:rPr>
          <w:rFonts w:ascii="Times New Roman" w:hAnsi="Times New Roman"/>
          <w:sz w:val="24"/>
          <w:szCs w:val="24"/>
        </w:rPr>
        <w:t xml:space="preserve"> </w:t>
      </w:r>
      <w:r w:rsidR="00086785" w:rsidRPr="00767D63">
        <w:rPr>
          <w:rFonts w:ascii="Times New Roman" w:hAnsi="Times New Roman"/>
          <w:sz w:val="24"/>
          <w:szCs w:val="24"/>
        </w:rPr>
        <w:t xml:space="preserve">фактическое значение составит </w:t>
      </w:r>
      <w:r w:rsidR="00AE50DE">
        <w:rPr>
          <w:rFonts w:ascii="Times New Roman" w:hAnsi="Times New Roman"/>
          <w:sz w:val="24"/>
          <w:szCs w:val="24"/>
        </w:rPr>
        <w:t>45,98</w:t>
      </w:r>
      <w:r w:rsidR="0052121A" w:rsidRPr="00767D63">
        <w:rPr>
          <w:rFonts w:ascii="Times New Roman" w:hAnsi="Times New Roman"/>
          <w:sz w:val="24"/>
          <w:szCs w:val="24"/>
        </w:rPr>
        <w:t>% от потребности.</w:t>
      </w:r>
    </w:p>
    <w:p w:rsidR="00D06D16" w:rsidRPr="00767D63" w:rsidRDefault="00086785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D63">
        <w:rPr>
          <w:rFonts w:ascii="Times New Roman" w:hAnsi="Times New Roman"/>
          <w:sz w:val="24"/>
          <w:szCs w:val="24"/>
        </w:rPr>
        <w:t>Значение показателя «</w:t>
      </w:r>
      <w:r w:rsidR="00FF4982" w:rsidRPr="00767D63">
        <w:rPr>
          <w:rFonts w:ascii="Times New Roman" w:hAnsi="Times New Roman"/>
          <w:i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767D63">
        <w:rPr>
          <w:rFonts w:ascii="Times New Roman" w:hAnsi="Times New Roman"/>
          <w:sz w:val="24"/>
          <w:szCs w:val="24"/>
        </w:rPr>
        <w:t>»</w:t>
      </w:r>
      <w:r w:rsidR="00FF4982" w:rsidRPr="00767D63">
        <w:rPr>
          <w:rFonts w:ascii="Times New Roman" w:hAnsi="Times New Roman"/>
          <w:sz w:val="24"/>
          <w:szCs w:val="24"/>
        </w:rPr>
        <w:t xml:space="preserve"> в 20</w:t>
      </w:r>
      <w:r w:rsidR="00D06D16" w:rsidRPr="00767D63">
        <w:rPr>
          <w:rFonts w:ascii="Times New Roman" w:hAnsi="Times New Roman"/>
          <w:sz w:val="24"/>
          <w:szCs w:val="24"/>
        </w:rPr>
        <w:t>20</w:t>
      </w:r>
      <w:r w:rsidR="00FF4982" w:rsidRPr="00767D63">
        <w:rPr>
          <w:rFonts w:ascii="Times New Roman" w:hAnsi="Times New Roman"/>
          <w:sz w:val="24"/>
          <w:szCs w:val="24"/>
        </w:rPr>
        <w:t xml:space="preserve"> году составил</w:t>
      </w:r>
      <w:r w:rsidRPr="00767D63">
        <w:rPr>
          <w:rFonts w:ascii="Times New Roman" w:hAnsi="Times New Roman"/>
          <w:sz w:val="24"/>
          <w:szCs w:val="24"/>
        </w:rPr>
        <w:t>о</w:t>
      </w:r>
      <w:r w:rsidR="00FF4982" w:rsidRPr="00767D63">
        <w:rPr>
          <w:rFonts w:ascii="Times New Roman" w:hAnsi="Times New Roman"/>
          <w:sz w:val="24"/>
          <w:szCs w:val="24"/>
        </w:rPr>
        <w:t xml:space="preserve"> </w:t>
      </w:r>
      <w:r w:rsidR="001A0C4B" w:rsidRPr="00767D63">
        <w:rPr>
          <w:rFonts w:ascii="Times New Roman" w:hAnsi="Times New Roman"/>
          <w:sz w:val="24"/>
          <w:szCs w:val="24"/>
        </w:rPr>
        <w:t>6,25</w:t>
      </w:r>
      <w:r w:rsidR="00FF4982" w:rsidRPr="00767D63">
        <w:rPr>
          <w:rFonts w:ascii="Times New Roman" w:hAnsi="Times New Roman"/>
          <w:sz w:val="24"/>
          <w:szCs w:val="24"/>
        </w:rPr>
        <w:t xml:space="preserve">%. </w:t>
      </w:r>
      <w:r w:rsidR="00D06D16" w:rsidRPr="00767D63">
        <w:rPr>
          <w:rFonts w:ascii="Times New Roman" w:hAnsi="Times New Roman"/>
          <w:sz w:val="24"/>
          <w:szCs w:val="24"/>
        </w:rPr>
        <w:t xml:space="preserve">За учреждениями культуры было закреплено 17 отдельно стоящих зданий и помещений, здание библиотеки - филиалы МБУК ЦБС №№ 1,11,  по адресу ул. </w:t>
      </w:r>
      <w:proofErr w:type="spellStart"/>
      <w:r w:rsidR="00D06D16" w:rsidRPr="00767D63">
        <w:rPr>
          <w:rFonts w:ascii="Times New Roman" w:hAnsi="Times New Roman"/>
          <w:sz w:val="24"/>
          <w:szCs w:val="24"/>
        </w:rPr>
        <w:t>Корткеросская</w:t>
      </w:r>
      <w:proofErr w:type="spellEnd"/>
      <w:r w:rsidR="00D06D16" w:rsidRPr="00767D63">
        <w:rPr>
          <w:rFonts w:ascii="Times New Roman" w:hAnsi="Times New Roman"/>
          <w:sz w:val="24"/>
          <w:szCs w:val="24"/>
        </w:rPr>
        <w:t>, д. 13, было снесено в 2019 году.</w:t>
      </w:r>
      <w:proofErr w:type="gramEnd"/>
      <w:r w:rsidR="00D06D16" w:rsidRPr="00767D63">
        <w:rPr>
          <w:rFonts w:ascii="Times New Roman" w:hAnsi="Times New Roman"/>
          <w:sz w:val="24"/>
          <w:szCs w:val="24"/>
        </w:rPr>
        <w:t xml:space="preserve"> Капитального ремонта требует одно  здание – «МАУК «Дом развития культуры и искусства», находящееся по адресу: г. Сыктывкар, ул. Кирова, д. 21. Плановый показатель на 2021 год указан на уровне 2020 года в связи с тем, что ремонт требует затрат более 21,5 млн. рублей, в 2021 году данные средства не предусмотрены. В 2022  году планируется получение </w:t>
      </w:r>
      <w:r w:rsidR="00D06D16" w:rsidRPr="00767D63">
        <w:rPr>
          <w:rFonts w:ascii="Times New Roman" w:hAnsi="Times New Roman"/>
          <w:sz w:val="24"/>
          <w:szCs w:val="24"/>
        </w:rPr>
        <w:lastRenderedPageBreak/>
        <w:t>поддержки Министерства культуры Республики Коми и ремонт данного здания за счет средств республиканского бюджета Республики Коми.</w:t>
      </w:r>
    </w:p>
    <w:p w:rsidR="00D06D16" w:rsidRPr="00767D63" w:rsidRDefault="001A0C4B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4982" w:rsidRPr="00767D63">
        <w:rPr>
          <w:rFonts w:ascii="Times New Roman" w:hAnsi="Times New Roman"/>
          <w:i/>
          <w:sz w:val="24"/>
          <w:szCs w:val="24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</w:r>
      <w:r w:rsidR="00086785" w:rsidRPr="00767D63">
        <w:rPr>
          <w:rFonts w:ascii="Times New Roman" w:hAnsi="Times New Roman"/>
          <w:i/>
          <w:sz w:val="24"/>
          <w:szCs w:val="24"/>
        </w:rPr>
        <w:t>собственности</w:t>
      </w:r>
      <w:r w:rsidR="00086785" w:rsidRPr="00767D63">
        <w:rPr>
          <w:rFonts w:ascii="Times New Roman" w:hAnsi="Times New Roman"/>
          <w:sz w:val="24"/>
          <w:szCs w:val="24"/>
        </w:rPr>
        <w:t xml:space="preserve"> в</w:t>
      </w:r>
      <w:r w:rsidR="00002F8D" w:rsidRPr="00767D63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отчетном году </w:t>
      </w:r>
      <w:r w:rsidR="000E3209" w:rsidRPr="00767D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2F8D" w:rsidRPr="00767D6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оставила </w:t>
      </w:r>
      <w:r w:rsidR="000E3209" w:rsidRPr="00767D63">
        <w:rPr>
          <w:rFonts w:ascii="Times New Roman" w:eastAsia="Times New Roman" w:hAnsi="Times New Roman"/>
          <w:sz w:val="24"/>
          <w:szCs w:val="24"/>
          <w:lang w:eastAsia="ru-RU"/>
        </w:rPr>
        <w:t>27,27</w:t>
      </w:r>
      <w:r w:rsidR="00002F8D" w:rsidRPr="00767D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0E3209" w:rsidRPr="00767D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06D16" w:rsidRPr="00767D63">
        <w:rPr>
          <w:rFonts w:ascii="Times New Roman" w:hAnsi="Times New Roman"/>
          <w:sz w:val="24"/>
          <w:szCs w:val="24"/>
        </w:rPr>
        <w:t>С 2017 года на территории МО ГО «Сыктывкар» находится 11 объектов культурного наследия, находящихся в муниципальной собственности, из них 3 объекта требуют консервации или реставрации, а именно многоквартирные дома  по адресам:</w:t>
      </w:r>
      <w:proofErr w:type="gramEnd"/>
      <w:r w:rsidR="00D06D16" w:rsidRPr="00767D63">
        <w:rPr>
          <w:rFonts w:ascii="Times New Roman" w:hAnsi="Times New Roman"/>
          <w:sz w:val="24"/>
          <w:szCs w:val="24"/>
        </w:rPr>
        <w:t xml:space="preserve"> Советская,27, ул. Кирова,27 и в 2019 году признано аварийным здание МАОУ «Гимназия им. </w:t>
      </w:r>
      <w:proofErr w:type="spellStart"/>
      <w:r w:rsidR="00D06D16" w:rsidRPr="00767D63">
        <w:rPr>
          <w:rFonts w:ascii="Times New Roman" w:hAnsi="Times New Roman"/>
          <w:sz w:val="24"/>
          <w:szCs w:val="24"/>
        </w:rPr>
        <w:t>А.С.Пушкина</w:t>
      </w:r>
      <w:proofErr w:type="spellEnd"/>
      <w:r w:rsidR="00D06D16" w:rsidRPr="00767D63">
        <w:rPr>
          <w:rFonts w:ascii="Times New Roman" w:hAnsi="Times New Roman"/>
          <w:sz w:val="24"/>
          <w:szCs w:val="24"/>
        </w:rPr>
        <w:t>» по ул. Советская, 14. Плановые показатели установлены на уровне 2019 года, в связи с тем, что капитальный ремонт зданий требует дополнительных финансовых затрат, которые в настоящее время в бюджете не предусмотрены.</w:t>
      </w:r>
    </w:p>
    <w:p w:rsidR="001278A5" w:rsidRPr="00767D63" w:rsidRDefault="001278A5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 xml:space="preserve">Деятельность по улучшению состояния сферы культуры города ведется в рамках реализации мероприятий муниципальной программы МО ГО «Сыктывкар» «Развитие культуры, физической культуры и спорта». </w:t>
      </w:r>
    </w:p>
    <w:p w:rsidR="00656891" w:rsidRPr="00767D63" w:rsidRDefault="00656891" w:rsidP="008038E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7010B" w:rsidRPr="00767D63" w:rsidRDefault="009864E2" w:rsidP="008038E7">
      <w:pPr>
        <w:tabs>
          <w:tab w:val="center" w:pos="7632"/>
        </w:tabs>
        <w:jc w:val="center"/>
        <w:outlineLvl w:val="0"/>
        <w:rPr>
          <w:b/>
        </w:rPr>
      </w:pPr>
      <w:r w:rsidRPr="00767D63">
        <w:rPr>
          <w:b/>
        </w:rPr>
        <w:t xml:space="preserve">5. </w:t>
      </w:r>
      <w:r w:rsidR="00B7010B" w:rsidRPr="00767D63">
        <w:rPr>
          <w:b/>
        </w:rPr>
        <w:t>Физическая культура и спорт</w:t>
      </w:r>
    </w:p>
    <w:p w:rsidR="009864E2" w:rsidRPr="00767D63" w:rsidRDefault="009864E2" w:rsidP="008038E7">
      <w:pPr>
        <w:tabs>
          <w:tab w:val="center" w:pos="7632"/>
        </w:tabs>
        <w:jc w:val="center"/>
        <w:rPr>
          <w:b/>
        </w:rPr>
      </w:pPr>
    </w:p>
    <w:p w:rsidR="00443B5D" w:rsidRPr="00767D63" w:rsidRDefault="00FC2974" w:rsidP="008038E7">
      <w:pPr>
        <w:tabs>
          <w:tab w:val="left" w:pos="2268"/>
          <w:tab w:val="center" w:pos="7632"/>
        </w:tabs>
        <w:ind w:firstLine="567"/>
        <w:jc w:val="both"/>
      </w:pPr>
      <w:r w:rsidRPr="00767D63">
        <w:rPr>
          <w:i/>
        </w:rPr>
        <w:t>Доля нас</w:t>
      </w:r>
      <w:r w:rsidR="00031FCA" w:rsidRPr="00767D63">
        <w:rPr>
          <w:i/>
        </w:rPr>
        <w:t>еления, систематически занимающего</w:t>
      </w:r>
      <w:r w:rsidRPr="00767D63">
        <w:rPr>
          <w:i/>
        </w:rPr>
        <w:t>ся физиче</w:t>
      </w:r>
      <w:r w:rsidR="003F5971" w:rsidRPr="00767D63">
        <w:rPr>
          <w:i/>
        </w:rPr>
        <w:t>ской культурой и спортом</w:t>
      </w:r>
      <w:r w:rsidR="003F5971" w:rsidRPr="00767D63">
        <w:t>, в 20</w:t>
      </w:r>
      <w:r w:rsidR="00D61B40" w:rsidRPr="00767D63">
        <w:t>20</w:t>
      </w:r>
      <w:r w:rsidR="009864E2" w:rsidRPr="00767D63">
        <w:t xml:space="preserve"> </w:t>
      </w:r>
      <w:r w:rsidRPr="00767D63">
        <w:t xml:space="preserve">году составила </w:t>
      </w:r>
      <w:r w:rsidR="00E4460C" w:rsidRPr="00767D63">
        <w:t>43,9</w:t>
      </w:r>
      <w:r w:rsidRPr="00767D63">
        <w:t>%</w:t>
      </w:r>
      <w:r w:rsidR="009864E2" w:rsidRPr="00767D63">
        <w:t xml:space="preserve">, что на </w:t>
      </w:r>
      <w:r w:rsidR="00E4460C" w:rsidRPr="00767D63">
        <w:t>5</w:t>
      </w:r>
      <w:r w:rsidR="009864E2" w:rsidRPr="00767D63">
        <w:t>% лучше уровня 201</w:t>
      </w:r>
      <w:r w:rsidR="00D61B40" w:rsidRPr="00767D63">
        <w:t>9</w:t>
      </w:r>
      <w:r w:rsidR="009864E2" w:rsidRPr="00767D63">
        <w:t xml:space="preserve"> года</w:t>
      </w:r>
      <w:r w:rsidRPr="00767D63">
        <w:t xml:space="preserve">. </w:t>
      </w:r>
      <w:r w:rsidR="00443B5D" w:rsidRPr="00767D63">
        <w:t>Улучшение показателя обусловлено реализацией мероприятий муниципальной программы</w:t>
      </w:r>
      <w:r w:rsidR="00CE3060" w:rsidRPr="00767D63">
        <w:t xml:space="preserve"> МО ГО «Сыктывкар»</w:t>
      </w:r>
      <w:r w:rsidR="00443B5D" w:rsidRPr="00767D63">
        <w:t xml:space="preserve"> «Развитие культуры, физической культуры и спорта»</w:t>
      </w:r>
      <w:r w:rsidR="00496EE9" w:rsidRPr="00767D63">
        <w:t xml:space="preserve"> в части реализации регионального проекта «Спорт-норма жизни!», развития Всероссийского физкультурно-спортивного комплекса «Готов к труду и обороне», увеличения качества предоставляемых услуг по спортивной подготовке и реализации направлений проекта «Народный бюджет».</w:t>
      </w:r>
      <w:r w:rsidR="00E175D3" w:rsidRPr="00767D63">
        <w:t xml:space="preserve"> В 2021-2023 годы планируется обеспечить значение показателя не ниже уровня 2020 года.</w:t>
      </w:r>
    </w:p>
    <w:p w:rsidR="00D06D16" w:rsidRPr="00767D63" w:rsidRDefault="00D06D16" w:rsidP="008038E7">
      <w:pPr>
        <w:tabs>
          <w:tab w:val="left" w:pos="993"/>
        </w:tabs>
        <w:ind w:firstLine="709"/>
        <w:jc w:val="both"/>
      </w:pPr>
      <w:r w:rsidRPr="00767D63">
        <w:t>1.</w:t>
      </w:r>
      <w:r w:rsidRPr="00767D63">
        <w:tab/>
        <w:t>МАУ «Спортивная школа «Северная Олимпия» (горнолыжный спорт, пулевая стрельба, фигурное катание на коньках, хоккей, шахматы, спортивное ориентирование).</w:t>
      </w:r>
    </w:p>
    <w:p w:rsidR="00D06D16" w:rsidRPr="00767D63" w:rsidRDefault="00D06D16" w:rsidP="008038E7">
      <w:pPr>
        <w:tabs>
          <w:tab w:val="left" w:pos="993"/>
        </w:tabs>
        <w:ind w:firstLine="709"/>
        <w:jc w:val="both"/>
      </w:pPr>
      <w:r w:rsidRPr="00767D63">
        <w:t>2.</w:t>
      </w:r>
      <w:r w:rsidRPr="00767D63">
        <w:tab/>
        <w:t>МАУ Спортивная школа олимпийского резерва «</w:t>
      </w:r>
      <w:proofErr w:type="spellStart"/>
      <w:r w:rsidRPr="00767D63">
        <w:t>Аквалидер</w:t>
      </w:r>
      <w:proofErr w:type="spellEnd"/>
      <w:r w:rsidRPr="00767D63">
        <w:t>» (плавание).</w:t>
      </w:r>
    </w:p>
    <w:p w:rsidR="00D06D16" w:rsidRPr="00767D63" w:rsidRDefault="00D06D16" w:rsidP="008038E7">
      <w:pPr>
        <w:tabs>
          <w:tab w:val="left" w:pos="993"/>
        </w:tabs>
        <w:ind w:firstLine="709"/>
        <w:jc w:val="both"/>
      </w:pPr>
      <w:r w:rsidRPr="00767D63">
        <w:t>3.</w:t>
      </w:r>
      <w:r w:rsidRPr="00767D63">
        <w:tab/>
        <w:t>МБУ «Спортивная школа олимпийского резерва «Фаворит» (дзюдо; лыжные гонки, тхэквондо).</w:t>
      </w:r>
    </w:p>
    <w:p w:rsidR="00D06D16" w:rsidRPr="00767D63" w:rsidRDefault="00D06D16" w:rsidP="008038E7">
      <w:pPr>
        <w:tabs>
          <w:tab w:val="left" w:pos="993"/>
        </w:tabs>
        <w:ind w:firstLine="709"/>
        <w:jc w:val="both"/>
      </w:pPr>
      <w:r w:rsidRPr="00767D63">
        <w:t>4.</w:t>
      </w:r>
      <w:r w:rsidRPr="00767D63">
        <w:tab/>
        <w:t>МАУ Спортивная школа олимпийского резерва «</w:t>
      </w:r>
      <w:proofErr w:type="spellStart"/>
      <w:r w:rsidRPr="00767D63">
        <w:t>Эжва</w:t>
      </w:r>
      <w:proofErr w:type="spellEnd"/>
      <w:r w:rsidRPr="00767D63">
        <w:t>» (бокс, вольная борьба, тхэквондо, футбол).</w:t>
      </w:r>
    </w:p>
    <w:p w:rsidR="00D06D16" w:rsidRPr="00767D63" w:rsidRDefault="00D06D16" w:rsidP="008038E7">
      <w:pPr>
        <w:tabs>
          <w:tab w:val="left" w:pos="993"/>
        </w:tabs>
        <w:ind w:firstLine="709"/>
        <w:jc w:val="both"/>
      </w:pPr>
      <w:r w:rsidRPr="00767D63">
        <w:t>5.</w:t>
      </w:r>
      <w:r w:rsidRPr="00767D63">
        <w:tab/>
        <w:t>МАУ «</w:t>
      </w:r>
      <w:proofErr w:type="spellStart"/>
      <w:r w:rsidRPr="00767D63">
        <w:t>Реабилитационно</w:t>
      </w:r>
      <w:proofErr w:type="spellEnd"/>
      <w:r w:rsidRPr="00767D63">
        <w:t xml:space="preserve">–оздоровительный центр» (виды спорта: волейбол, настольный теннис, футбол, а так же организация и проведение спортивно–оздоровительных, </w:t>
      </w:r>
      <w:proofErr w:type="spellStart"/>
      <w:r w:rsidRPr="00767D63">
        <w:t>физкультурно</w:t>
      </w:r>
      <w:proofErr w:type="spellEnd"/>
      <w:r w:rsidRPr="00767D63">
        <w:t>–массовых мероприятий для населения).</w:t>
      </w:r>
    </w:p>
    <w:p w:rsidR="00D06D16" w:rsidRPr="00767D63" w:rsidRDefault="00D06D16" w:rsidP="008038E7">
      <w:pPr>
        <w:tabs>
          <w:tab w:val="left" w:pos="993"/>
        </w:tabs>
        <w:ind w:firstLine="709"/>
        <w:jc w:val="both"/>
      </w:pPr>
      <w:r w:rsidRPr="00767D63">
        <w:t>6.</w:t>
      </w:r>
      <w:r w:rsidRPr="00767D63">
        <w:tab/>
        <w:t xml:space="preserve">МАУ «Центр спортивных мероприятий г. Сыктывкара» (организация и проведение физкультурных и спортивных мероприятий, </w:t>
      </w:r>
      <w:proofErr w:type="spellStart"/>
      <w:r w:rsidRPr="00767D63">
        <w:t>физкультурно</w:t>
      </w:r>
      <w:proofErr w:type="spellEnd"/>
      <w:r w:rsidRPr="00767D63">
        <w:t xml:space="preserve">–оздоровительная работа с населением). </w:t>
      </w:r>
    </w:p>
    <w:p w:rsidR="009864E2" w:rsidRPr="00767D63" w:rsidRDefault="009864E2" w:rsidP="008038E7">
      <w:pPr>
        <w:tabs>
          <w:tab w:val="left" w:pos="993"/>
          <w:tab w:val="center" w:pos="7632"/>
        </w:tabs>
        <w:ind w:firstLine="567"/>
        <w:jc w:val="both"/>
        <w:rPr>
          <w:highlight w:val="yellow"/>
        </w:rPr>
      </w:pPr>
      <w:r w:rsidRPr="00767D63">
        <w:rPr>
          <w:i/>
        </w:rPr>
        <w:t xml:space="preserve">Доля </w:t>
      </w:r>
      <w:proofErr w:type="gramStart"/>
      <w:r w:rsidRPr="00767D63">
        <w:rPr>
          <w:i/>
        </w:rPr>
        <w:t>обучающихся</w:t>
      </w:r>
      <w:proofErr w:type="gramEnd"/>
      <w:r w:rsidRPr="00767D63">
        <w:rPr>
          <w:i/>
        </w:rPr>
        <w:t xml:space="preserve">, систематически занимающихся физической культурой и спортом, в общей численности обучающихся </w:t>
      </w:r>
      <w:r w:rsidR="00F70056" w:rsidRPr="00767D63">
        <w:t>увеличилась</w:t>
      </w:r>
      <w:r w:rsidRPr="00767D63">
        <w:t xml:space="preserve"> в 20</w:t>
      </w:r>
      <w:r w:rsidR="00D06D16" w:rsidRPr="00767D63">
        <w:t>20</w:t>
      </w:r>
      <w:r w:rsidRPr="00767D63">
        <w:t xml:space="preserve"> году на </w:t>
      </w:r>
      <w:r w:rsidR="00D06D16" w:rsidRPr="00767D63">
        <w:t>0,5п.п.</w:t>
      </w:r>
      <w:r w:rsidR="00F70056" w:rsidRPr="00767D63">
        <w:t xml:space="preserve"> и составила </w:t>
      </w:r>
      <w:r w:rsidR="00D06D16" w:rsidRPr="00767D63">
        <w:t>73,1</w:t>
      </w:r>
      <w:r w:rsidR="00F70056" w:rsidRPr="00767D63">
        <w:t>%</w:t>
      </w:r>
      <w:r w:rsidRPr="00767D63">
        <w:t xml:space="preserve">. </w:t>
      </w:r>
      <w:r w:rsidR="00F70056" w:rsidRPr="00767D63">
        <w:t>Увеличение</w:t>
      </w:r>
      <w:r w:rsidRPr="00767D63">
        <w:t xml:space="preserve"> </w:t>
      </w:r>
      <w:r w:rsidR="00496EE9" w:rsidRPr="00767D63">
        <w:t>связано с вовлечением большего числа населения в охватываемом показателем возрасте к занятиям физической культурой и спортом.</w:t>
      </w:r>
      <w:r w:rsidRPr="00767D63">
        <w:t xml:space="preserve">  Плановый показатель 20</w:t>
      </w:r>
      <w:r w:rsidR="00496EE9" w:rsidRPr="00767D63">
        <w:t>2</w:t>
      </w:r>
      <w:r w:rsidR="00E92ADD">
        <w:t>1</w:t>
      </w:r>
      <w:r w:rsidRPr="00767D63">
        <w:t>-202</w:t>
      </w:r>
      <w:r w:rsidR="00E92ADD">
        <w:t>3</w:t>
      </w:r>
      <w:r w:rsidRPr="00767D63">
        <w:t xml:space="preserve"> установлен на уровне фактически достигнутого в 20</w:t>
      </w:r>
      <w:r w:rsidR="00D06D16" w:rsidRPr="00767D63">
        <w:t>20</w:t>
      </w:r>
      <w:r w:rsidRPr="00767D63">
        <w:t xml:space="preserve"> году, поскольку контингент учащихся сохранится.</w:t>
      </w:r>
    </w:p>
    <w:p w:rsidR="00D06D16" w:rsidRPr="00767D63" w:rsidRDefault="00D06D16" w:rsidP="008038E7">
      <w:pPr>
        <w:widowControl w:val="0"/>
        <w:suppressAutoHyphens/>
        <w:autoSpaceDE w:val="0"/>
        <w:ind w:firstLine="426"/>
        <w:jc w:val="both"/>
      </w:pPr>
      <w:r w:rsidRPr="00767D63">
        <w:t xml:space="preserve">На территории города Сыктывкара общее количество занимающихся физической культурой и спортом – 107 359 человек (в 2019 году – 95 033 человек), что составляет </w:t>
      </w:r>
      <w:r w:rsidR="003A066B">
        <w:t>43,9</w:t>
      </w:r>
      <w:r w:rsidRPr="00767D63">
        <w:t xml:space="preserve">% населения. Наиболее популярными видами спорта являются: плавание, футбол, волейбол, баскетбол и фитнес–аэробика. </w:t>
      </w:r>
    </w:p>
    <w:p w:rsidR="00D06D16" w:rsidRPr="00767D63" w:rsidRDefault="00D06D16" w:rsidP="008038E7">
      <w:pPr>
        <w:widowControl w:val="0"/>
        <w:suppressAutoHyphens/>
        <w:autoSpaceDE w:val="0"/>
        <w:ind w:firstLine="426"/>
        <w:jc w:val="both"/>
      </w:pPr>
      <w:r w:rsidRPr="00767D63">
        <w:t>В связи с объявленным режимом повышенной готовности (Указ Главы Республики Коми от 15.03.2020 г. № 16) проведение всех спортивных мероприятий было приостановлено до конца 2020 года. За 2020 год в г. Сыктывкаре было проведено 114 физкультурных и спортивных мероприятий. Общее количество проведенных в 2020 году физкультурных и спортивных мероприятий по оценке выполнения нормативов испытаний (тестов) комплекса ГТО, составило – 155 с общим охватом 2142 человека.</w:t>
      </w:r>
    </w:p>
    <w:p w:rsidR="00D06D16" w:rsidRPr="00767D63" w:rsidRDefault="00D06D16" w:rsidP="008038E7">
      <w:pPr>
        <w:widowControl w:val="0"/>
        <w:suppressAutoHyphens/>
        <w:autoSpaceDE w:val="0"/>
        <w:ind w:firstLine="426"/>
        <w:jc w:val="both"/>
      </w:pPr>
      <w:proofErr w:type="spellStart"/>
      <w:r w:rsidRPr="00767D63">
        <w:t>Физкультурно</w:t>
      </w:r>
      <w:proofErr w:type="spellEnd"/>
      <w:r w:rsidRPr="00767D63">
        <w:t xml:space="preserve">–спортивными организациями города в 2020 году по результатам участия </w:t>
      </w:r>
      <w:r w:rsidRPr="00767D63">
        <w:lastRenderedPageBreak/>
        <w:t>спортсменов в соревнованиях присвоено 288 разрядов, из них:</w:t>
      </w:r>
    </w:p>
    <w:p w:rsidR="00D06D16" w:rsidRPr="00767D63" w:rsidRDefault="00D06D16" w:rsidP="00495C98">
      <w:pPr>
        <w:pStyle w:val="a9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Первый разряд – 157;</w:t>
      </w:r>
    </w:p>
    <w:p w:rsidR="00D06D16" w:rsidRPr="00767D63" w:rsidRDefault="00D06D16" w:rsidP="00495C98">
      <w:pPr>
        <w:pStyle w:val="a9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 xml:space="preserve">Кандидаты в мастера спорта – 109; </w:t>
      </w:r>
    </w:p>
    <w:p w:rsidR="00D06D16" w:rsidRPr="00767D63" w:rsidRDefault="00D06D16" w:rsidP="00495C98">
      <w:pPr>
        <w:pStyle w:val="a9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Мастер спорта России – 17;</w:t>
      </w:r>
    </w:p>
    <w:p w:rsidR="00D06D16" w:rsidRPr="00767D63" w:rsidRDefault="00D06D16" w:rsidP="00495C98">
      <w:pPr>
        <w:pStyle w:val="a9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D63">
        <w:rPr>
          <w:rFonts w:ascii="Times New Roman" w:hAnsi="Times New Roman"/>
          <w:sz w:val="24"/>
          <w:szCs w:val="24"/>
        </w:rPr>
        <w:t>Мастер спорта России международного класса – 3;</w:t>
      </w:r>
    </w:p>
    <w:p w:rsidR="00427136" w:rsidRPr="00767D63" w:rsidRDefault="00D06D16" w:rsidP="00495C98">
      <w:pPr>
        <w:pStyle w:val="a9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</w:rPr>
        <w:t>Заслуженный мастер спорта – 2.</w:t>
      </w:r>
    </w:p>
    <w:p w:rsidR="00E276D8" w:rsidRPr="00767D63" w:rsidRDefault="00E276D8" w:rsidP="008038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  <w:r w:rsidRPr="00767D63">
        <w:rPr>
          <w:lang w:eastAsia="ar-SA"/>
        </w:rPr>
        <w:t>Благодаря субсидированию из вышестоящих бюджетов за 2020 год реализованы следующие крупные проекты:</w:t>
      </w:r>
    </w:p>
    <w:p w:rsidR="00E276D8" w:rsidRPr="00767D63" w:rsidRDefault="00E276D8" w:rsidP="00495C98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767D63">
        <w:rPr>
          <w:rFonts w:ascii="Times New Roman" w:hAnsi="Times New Roman"/>
          <w:sz w:val="24"/>
          <w:szCs w:val="24"/>
          <w:lang w:eastAsia="ar-SA"/>
        </w:rPr>
        <w:t>пгт</w:t>
      </w:r>
      <w:proofErr w:type="spellEnd"/>
      <w:r w:rsidRPr="00767D63">
        <w:rPr>
          <w:rFonts w:ascii="Times New Roman" w:hAnsi="Times New Roman"/>
          <w:sz w:val="24"/>
          <w:szCs w:val="24"/>
          <w:lang w:eastAsia="ar-SA"/>
        </w:rPr>
        <w:t xml:space="preserve">. В. </w:t>
      </w:r>
      <w:proofErr w:type="spellStart"/>
      <w:r w:rsidRPr="00767D63">
        <w:rPr>
          <w:rFonts w:ascii="Times New Roman" w:hAnsi="Times New Roman"/>
          <w:sz w:val="24"/>
          <w:szCs w:val="24"/>
          <w:lang w:eastAsia="ar-SA"/>
        </w:rPr>
        <w:t>Максаковка</w:t>
      </w:r>
      <w:proofErr w:type="spellEnd"/>
      <w:r w:rsidRPr="00767D63">
        <w:rPr>
          <w:rFonts w:ascii="Times New Roman" w:hAnsi="Times New Roman"/>
          <w:sz w:val="24"/>
          <w:szCs w:val="24"/>
          <w:lang w:eastAsia="ar-SA"/>
        </w:rPr>
        <w:t xml:space="preserve"> сдан новый объект – Стадион–площадка. Строительство стадиона осуществлялось управлением капитального строительства МО ГО «Сыктывкар»; </w:t>
      </w:r>
    </w:p>
    <w:p w:rsidR="00E276D8" w:rsidRPr="00767D63" w:rsidRDefault="00E276D8" w:rsidP="00495C98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  <w:lang w:eastAsia="ar-SA"/>
        </w:rPr>
        <w:t xml:space="preserve">в рамках национального проекта «Демография», республиканской субсидии на обеспечение безопасных условий объектов спорта и </w:t>
      </w:r>
      <w:proofErr w:type="gramStart"/>
      <w:r w:rsidRPr="00767D63">
        <w:rPr>
          <w:rFonts w:ascii="Times New Roman" w:hAnsi="Times New Roman"/>
          <w:sz w:val="24"/>
          <w:szCs w:val="24"/>
          <w:lang w:eastAsia="ar-SA"/>
        </w:rPr>
        <w:t>средств, дополнительно выделенных управлению из муниципального бюджета осуществлена</w:t>
      </w:r>
      <w:proofErr w:type="gramEnd"/>
      <w:r w:rsidRPr="00767D63">
        <w:rPr>
          <w:rFonts w:ascii="Times New Roman" w:hAnsi="Times New Roman"/>
          <w:sz w:val="24"/>
          <w:szCs w:val="24"/>
          <w:lang w:eastAsia="ar-SA"/>
        </w:rPr>
        <w:t xml:space="preserve"> модернизация Спортивного стадиона по ул. Морозова, 195; установлена малая спортивная площадка для выполнения норм ГТО на территории СОШ №1 (ул. Чернова,12). В 2019 году установлена площадка ГТО по ул. Морозова 185;</w:t>
      </w:r>
    </w:p>
    <w:p w:rsidR="00E276D8" w:rsidRPr="00767D63" w:rsidRDefault="00E276D8" w:rsidP="00495C98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  <w:lang w:eastAsia="ar-SA"/>
        </w:rPr>
        <w:t>в рамках федерального проекта «Спорт–нома жизни» приобретено оборудование и инвентарь для организации спортивной подготовки по направлению «хоккей» на базе МАУ «СШ «Северная Олимпия»;</w:t>
      </w:r>
    </w:p>
    <w:p w:rsidR="00E276D8" w:rsidRPr="00767D63" w:rsidRDefault="00E276D8" w:rsidP="00495C98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  <w:lang w:eastAsia="ar-SA"/>
        </w:rPr>
        <w:t xml:space="preserve">проведены работы по модернизации баскетбольной площадки в парке им. С.М. Кирова; </w:t>
      </w:r>
    </w:p>
    <w:p w:rsidR="00E276D8" w:rsidRPr="00767D63" w:rsidRDefault="00E276D8" w:rsidP="00495C98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  <w:lang w:eastAsia="ar-SA"/>
        </w:rPr>
        <w:t xml:space="preserve">осуществлена реализация народного проекта «Физкультура в массы» за счет средств субсидии из республиканского бюджета. В </w:t>
      </w:r>
      <w:proofErr w:type="spellStart"/>
      <w:r w:rsidRPr="00767D63">
        <w:rPr>
          <w:rFonts w:ascii="Times New Roman" w:hAnsi="Times New Roman"/>
          <w:sz w:val="24"/>
          <w:szCs w:val="24"/>
          <w:lang w:eastAsia="ar-SA"/>
        </w:rPr>
        <w:t>Эжвинском</w:t>
      </w:r>
      <w:proofErr w:type="spellEnd"/>
      <w:r w:rsidRPr="00767D63">
        <w:rPr>
          <w:rFonts w:ascii="Times New Roman" w:hAnsi="Times New Roman"/>
          <w:sz w:val="24"/>
          <w:szCs w:val="24"/>
          <w:lang w:eastAsia="ar-SA"/>
        </w:rPr>
        <w:t xml:space="preserve"> районе были проведены работы по обустройству спортивной площадки МАУ «РОЦ»;</w:t>
      </w:r>
    </w:p>
    <w:p w:rsidR="00E276D8" w:rsidRPr="00767D63" w:rsidRDefault="00E276D8" w:rsidP="00495C98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D6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767D63">
        <w:rPr>
          <w:rFonts w:ascii="Times New Roman" w:hAnsi="Times New Roman"/>
          <w:sz w:val="24"/>
          <w:szCs w:val="24"/>
          <w:lang w:eastAsia="ar-SA"/>
        </w:rPr>
        <w:t>Эжвинском</w:t>
      </w:r>
      <w:proofErr w:type="spellEnd"/>
      <w:r w:rsidRPr="00767D63">
        <w:rPr>
          <w:rFonts w:ascii="Times New Roman" w:hAnsi="Times New Roman"/>
          <w:sz w:val="24"/>
          <w:szCs w:val="24"/>
          <w:lang w:eastAsia="ar-SA"/>
        </w:rPr>
        <w:t xml:space="preserve"> районе по ул. </w:t>
      </w:r>
      <w:proofErr w:type="gramStart"/>
      <w:r w:rsidRPr="00767D63">
        <w:rPr>
          <w:rFonts w:ascii="Times New Roman" w:hAnsi="Times New Roman"/>
          <w:sz w:val="24"/>
          <w:szCs w:val="24"/>
          <w:lang w:eastAsia="ar-SA"/>
        </w:rPr>
        <w:t>Слободская</w:t>
      </w:r>
      <w:proofErr w:type="gramEnd"/>
      <w:r w:rsidRPr="00767D63">
        <w:rPr>
          <w:rFonts w:ascii="Times New Roman" w:hAnsi="Times New Roman"/>
          <w:sz w:val="24"/>
          <w:szCs w:val="24"/>
          <w:lang w:eastAsia="ar-SA"/>
        </w:rPr>
        <w:t>, 25 введен в действие новый спортивный зал единоборств на базе МАУ «СШОР «</w:t>
      </w:r>
      <w:proofErr w:type="spellStart"/>
      <w:r w:rsidRPr="00767D63">
        <w:rPr>
          <w:rFonts w:ascii="Times New Roman" w:hAnsi="Times New Roman"/>
          <w:sz w:val="24"/>
          <w:szCs w:val="24"/>
          <w:lang w:eastAsia="ar-SA"/>
        </w:rPr>
        <w:t>Эжва</w:t>
      </w:r>
      <w:proofErr w:type="spellEnd"/>
      <w:r w:rsidRPr="00767D63">
        <w:rPr>
          <w:rFonts w:ascii="Times New Roman" w:hAnsi="Times New Roman"/>
          <w:sz w:val="24"/>
          <w:szCs w:val="24"/>
          <w:lang w:eastAsia="ar-SA"/>
        </w:rPr>
        <w:t>».</w:t>
      </w:r>
    </w:p>
    <w:p w:rsidR="004531BF" w:rsidRPr="00767D63" w:rsidRDefault="009864E2" w:rsidP="008038E7">
      <w:pPr>
        <w:jc w:val="center"/>
        <w:outlineLvl w:val="0"/>
        <w:rPr>
          <w:b/>
        </w:rPr>
      </w:pPr>
      <w:r w:rsidRPr="00767D63">
        <w:rPr>
          <w:b/>
        </w:rPr>
        <w:t xml:space="preserve">6. </w:t>
      </w:r>
      <w:r w:rsidR="004531BF" w:rsidRPr="00767D63">
        <w:rPr>
          <w:b/>
        </w:rPr>
        <w:t>Жилищное строительство и обеспечение граждан жильем</w:t>
      </w:r>
    </w:p>
    <w:p w:rsidR="009864E2" w:rsidRPr="00767D63" w:rsidRDefault="009864E2" w:rsidP="008038E7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4531BF" w:rsidRPr="00767D63" w:rsidRDefault="004531BF" w:rsidP="008038E7">
      <w:pPr>
        <w:autoSpaceDE w:val="0"/>
        <w:autoSpaceDN w:val="0"/>
        <w:adjustRightInd w:val="0"/>
        <w:ind w:firstLine="567"/>
        <w:jc w:val="both"/>
      </w:pPr>
      <w:r w:rsidRPr="00767D63">
        <w:t>Жилищное строительство, его темпы являются одной из составляющих экономики и залогом стабильной социальной жизни.</w:t>
      </w:r>
    </w:p>
    <w:p w:rsidR="009864E2" w:rsidRPr="00767D63" w:rsidRDefault="009864E2" w:rsidP="008038E7">
      <w:pPr>
        <w:tabs>
          <w:tab w:val="left" w:pos="709"/>
        </w:tabs>
        <w:ind w:right="-1" w:firstLine="567"/>
        <w:jc w:val="both"/>
      </w:pPr>
      <w:r w:rsidRPr="00767D63">
        <w:t>За счет всех источников финансирования за 20</w:t>
      </w:r>
      <w:r w:rsidR="00EA7FC6" w:rsidRPr="00767D63">
        <w:t>20</w:t>
      </w:r>
      <w:r w:rsidRPr="00767D63">
        <w:t xml:space="preserve">г. введено в действие </w:t>
      </w:r>
      <w:r w:rsidR="00EA7FC6" w:rsidRPr="00767D63">
        <w:t>122 949 кв. м общей площади жилых помещений (что на 12,4% меньше, чем в 2019г.), в том числе построенных населением – 30 136 кв. м общей площади жилья (что на 19,3% меньше, чем в 2019г.). Во введенных жилых домах в 2020 году введено 2 460 квартир, в том числе построенных населением – 274 квартиры.</w:t>
      </w:r>
    </w:p>
    <w:p w:rsidR="000F3B24" w:rsidRPr="00767D63" w:rsidRDefault="001278A5" w:rsidP="008038E7">
      <w:pPr>
        <w:tabs>
          <w:tab w:val="left" w:pos="709"/>
        </w:tabs>
        <w:ind w:right="-1" w:firstLine="567"/>
        <w:jc w:val="both"/>
      </w:pPr>
      <w:r w:rsidRPr="00767D63">
        <w:t xml:space="preserve">Ввод жилой площади напрямую зависит от наличия земельных ресурсов, а также количества выданных разрешений на строительство. </w:t>
      </w:r>
      <w:r w:rsidR="000F3B24" w:rsidRPr="00767D63">
        <w:t>За 20</w:t>
      </w:r>
      <w:r w:rsidR="00EA7FC6" w:rsidRPr="00767D63">
        <w:t>20</w:t>
      </w:r>
      <w:r w:rsidR="000F3B24" w:rsidRPr="00767D63">
        <w:t xml:space="preserve"> г. выдано </w:t>
      </w:r>
      <w:r w:rsidR="00EA7FC6" w:rsidRPr="00767D63">
        <w:t xml:space="preserve">31 разрешение на строительство объектов капитального строительства, выдано 60 разрешений на ввод объектов капитального строительства в эксплуатацию, уведомлений о планируемом строительстве объекта индивидуального жилищного строительства- 213, уведомлений о построенном объекте индивидуального жилищного строительства – 164. </w:t>
      </w:r>
      <w:r w:rsidR="000F3B24" w:rsidRPr="00767D63">
        <w:t xml:space="preserve"> </w:t>
      </w:r>
      <w:r w:rsidR="00EA7FC6" w:rsidRPr="00767D63">
        <w:t xml:space="preserve">Снижение показателей вызвано экономической ситуацией, сложившейся из-за распространения новой </w:t>
      </w:r>
      <w:proofErr w:type="spellStart"/>
      <w:r w:rsidR="00EA7FC6" w:rsidRPr="00767D63">
        <w:t>коронавирусной</w:t>
      </w:r>
      <w:proofErr w:type="spellEnd"/>
      <w:r w:rsidR="00EA7FC6" w:rsidRPr="00767D63">
        <w:t xml:space="preserve"> инфекции. </w:t>
      </w:r>
    </w:p>
    <w:p w:rsidR="009864E2" w:rsidRPr="00767D63" w:rsidRDefault="00F70056" w:rsidP="008038E7">
      <w:pPr>
        <w:tabs>
          <w:tab w:val="left" w:pos="709"/>
        </w:tabs>
        <w:ind w:right="-1" w:firstLine="567"/>
        <w:jc w:val="both"/>
      </w:pPr>
      <w:r w:rsidRPr="00767D63">
        <w:t>По итогам 20</w:t>
      </w:r>
      <w:r w:rsidR="00EA7FC6" w:rsidRPr="00767D63">
        <w:t>20</w:t>
      </w:r>
      <w:r w:rsidR="009864E2" w:rsidRPr="00767D63">
        <w:t xml:space="preserve"> года </w:t>
      </w:r>
      <w:r w:rsidR="009864E2" w:rsidRPr="00767D63">
        <w:rPr>
          <w:i/>
        </w:rPr>
        <w:t>общая площадь жилых помещений, приходящаяся в среднем на одного жителя,</w:t>
      </w:r>
      <w:r w:rsidR="009864E2" w:rsidRPr="00767D63">
        <w:t xml:space="preserve"> составила </w:t>
      </w:r>
      <w:r w:rsidR="00D815DA" w:rsidRPr="00767D63">
        <w:t>25,33</w:t>
      </w:r>
      <w:r w:rsidR="009864E2" w:rsidRPr="00767D63">
        <w:t xml:space="preserve"> </w:t>
      </w:r>
      <w:proofErr w:type="spellStart"/>
      <w:r w:rsidR="009864E2" w:rsidRPr="00767D63">
        <w:t>кв.м</w:t>
      </w:r>
      <w:proofErr w:type="spellEnd"/>
      <w:r w:rsidR="009864E2" w:rsidRPr="00767D63">
        <w:t>.</w:t>
      </w:r>
      <w:r w:rsidR="00D815DA" w:rsidRPr="00767D63">
        <w:t>, что на 1,5% выше показателя 2019 года.</w:t>
      </w:r>
      <w:r w:rsidR="009864E2" w:rsidRPr="00767D63">
        <w:t xml:space="preserve"> В плановом периоде будет продолжена работа по сохранению значения показателя.</w:t>
      </w:r>
    </w:p>
    <w:p w:rsidR="000B6FE9" w:rsidRPr="00767D63" w:rsidRDefault="00BA77C6" w:rsidP="008038E7">
      <w:pPr>
        <w:tabs>
          <w:tab w:val="left" w:pos="709"/>
        </w:tabs>
        <w:ind w:right="-1" w:firstLine="567"/>
        <w:jc w:val="both"/>
        <w:rPr>
          <w:iCs/>
        </w:rPr>
      </w:pPr>
      <w:r w:rsidRPr="00767D63">
        <w:t>П</w:t>
      </w:r>
      <w:r w:rsidR="000B6FE9" w:rsidRPr="00767D63">
        <w:t>о показателю «</w:t>
      </w:r>
      <w:r w:rsidR="00CE3C19" w:rsidRPr="00767D63">
        <w:rPr>
          <w:i/>
        </w:rPr>
        <w:t>Площадь земельных участков, предоставленных для строительства в расчете на 10 тыс. человек населения</w:t>
      </w:r>
      <w:r w:rsidR="000B6FE9" w:rsidRPr="00767D63">
        <w:t>»:</w:t>
      </w:r>
      <w:r w:rsidR="00CE3C19" w:rsidRPr="00767D63">
        <w:t xml:space="preserve"> </w:t>
      </w:r>
      <w:r w:rsidR="00CE3C19" w:rsidRPr="00767D63">
        <w:rPr>
          <w:iCs/>
        </w:rPr>
        <w:t xml:space="preserve">Исполнение мероприятия осуществляется в соответствии с утвержденным планом предоставления земельных участков, выдачи разрешений на строительство -  с учетом имеющихся земельных ресурсов муниципалитета. За отчетный год расчет произведен в соответствии с достигнутыми показателями: общая площадь ЗУ, предоставленных для строительства, составила </w:t>
      </w:r>
      <w:r w:rsidR="008038E7" w:rsidRPr="00767D63">
        <w:rPr>
          <w:iCs/>
        </w:rPr>
        <w:t>2,0</w:t>
      </w:r>
      <w:r w:rsidR="00CE3C19" w:rsidRPr="00767D63">
        <w:rPr>
          <w:iCs/>
        </w:rPr>
        <w:t xml:space="preserve"> Га; в целях ИЖС </w:t>
      </w:r>
      <w:r w:rsidR="00D6296F" w:rsidRPr="00767D63">
        <w:rPr>
          <w:iCs/>
        </w:rPr>
        <w:t>–</w:t>
      </w:r>
      <w:r w:rsidR="00CE3C19" w:rsidRPr="00767D63">
        <w:rPr>
          <w:iCs/>
        </w:rPr>
        <w:t xml:space="preserve"> </w:t>
      </w:r>
      <w:r w:rsidR="008038E7" w:rsidRPr="00767D63">
        <w:rPr>
          <w:iCs/>
        </w:rPr>
        <w:t>1,2</w:t>
      </w:r>
      <w:r w:rsidR="00CE3C19" w:rsidRPr="00767D63">
        <w:rPr>
          <w:iCs/>
        </w:rPr>
        <w:t xml:space="preserve"> Га.</w:t>
      </w:r>
      <w:r w:rsidR="00CE3C19" w:rsidRPr="00767D63">
        <w:t xml:space="preserve"> </w:t>
      </w:r>
      <w:r w:rsidR="00CE3C19" w:rsidRPr="00767D63">
        <w:rPr>
          <w:iCs/>
        </w:rPr>
        <w:t>Планы на 20</w:t>
      </w:r>
      <w:r w:rsidR="00D6296F" w:rsidRPr="00767D63">
        <w:rPr>
          <w:iCs/>
        </w:rPr>
        <w:t>2</w:t>
      </w:r>
      <w:r w:rsidR="008038E7" w:rsidRPr="00767D63">
        <w:rPr>
          <w:iCs/>
        </w:rPr>
        <w:t>1</w:t>
      </w:r>
      <w:r w:rsidR="00D6296F" w:rsidRPr="00767D63">
        <w:rPr>
          <w:iCs/>
        </w:rPr>
        <w:t xml:space="preserve"> -202</w:t>
      </w:r>
      <w:r w:rsidR="008038E7" w:rsidRPr="00767D63">
        <w:rPr>
          <w:iCs/>
        </w:rPr>
        <w:t>3</w:t>
      </w:r>
      <w:r w:rsidR="00CE3C19" w:rsidRPr="00767D63">
        <w:rPr>
          <w:iCs/>
        </w:rPr>
        <w:t xml:space="preserve"> годы рассчитаны исходя из плана предоставления ЗУ.</w:t>
      </w:r>
      <w:r w:rsidR="00D6296F" w:rsidRPr="00767D63">
        <w:rPr>
          <w:iCs/>
        </w:rPr>
        <w:t xml:space="preserve"> </w:t>
      </w:r>
    </w:p>
    <w:p w:rsidR="00C46A40" w:rsidRPr="00767D63" w:rsidRDefault="00CE3C19" w:rsidP="008038E7">
      <w:pPr>
        <w:tabs>
          <w:tab w:val="left" w:pos="709"/>
        </w:tabs>
        <w:ind w:right="-1" w:firstLine="567"/>
        <w:jc w:val="both"/>
      </w:pPr>
      <w:proofErr w:type="gramStart"/>
      <w:r w:rsidRPr="00767D63">
        <w:rPr>
          <w:iCs/>
        </w:rPr>
        <w:t>Значение показателя «</w:t>
      </w:r>
      <w:r w:rsidRPr="00767D63">
        <w:rPr>
          <w:i/>
          <w:iCs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</w:t>
      </w:r>
      <w:r w:rsidRPr="00767D63">
        <w:rPr>
          <w:i/>
          <w:iCs/>
        </w:rPr>
        <w:lastRenderedPageBreak/>
        <w:t>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767D63">
        <w:rPr>
          <w:iCs/>
        </w:rPr>
        <w:t>»</w:t>
      </w:r>
      <w:r w:rsidR="00D6296F" w:rsidRPr="00767D63">
        <w:rPr>
          <w:iCs/>
        </w:rPr>
        <w:t xml:space="preserve"> объектов жилищного строительства </w:t>
      </w:r>
      <w:r w:rsidR="00DF3845" w:rsidRPr="00767D63">
        <w:rPr>
          <w:iCs/>
        </w:rPr>
        <w:t>- в</w:t>
      </w:r>
      <w:r w:rsidR="00D6296F" w:rsidRPr="00767D63">
        <w:rPr>
          <w:iCs/>
        </w:rPr>
        <w:t xml:space="preserve"> течение 3х лет </w:t>
      </w:r>
      <w:r w:rsidRPr="00767D63">
        <w:rPr>
          <w:iCs/>
        </w:rPr>
        <w:t xml:space="preserve">составило </w:t>
      </w:r>
      <w:r w:rsidR="00C46A40" w:rsidRPr="00767D63">
        <w:rPr>
          <w:iCs/>
        </w:rPr>
        <w:t>6</w:t>
      </w:r>
      <w:r w:rsidR="008038E7" w:rsidRPr="00767D63">
        <w:rPr>
          <w:iCs/>
        </w:rPr>
        <w:t>7</w:t>
      </w:r>
      <w:r w:rsidR="00C46A40" w:rsidRPr="00767D63">
        <w:rPr>
          <w:iCs/>
        </w:rPr>
        <w:t xml:space="preserve"> тыс. кв. метров</w:t>
      </w:r>
      <w:r w:rsidR="00D6296F" w:rsidRPr="00767D63">
        <w:rPr>
          <w:iCs/>
        </w:rPr>
        <w:t xml:space="preserve">, иных объектов капитального строительства - в течение 5 лет составило </w:t>
      </w:r>
      <w:r w:rsidR="008038E7" w:rsidRPr="00767D63">
        <w:rPr>
          <w:iCs/>
        </w:rPr>
        <w:t>392,</w:t>
      </w:r>
      <w:r w:rsidR="00E175D3" w:rsidRPr="00767D63">
        <w:rPr>
          <w:iCs/>
        </w:rPr>
        <w:t>15</w:t>
      </w:r>
      <w:r w:rsidR="008038E7" w:rsidRPr="00767D63">
        <w:rPr>
          <w:iCs/>
        </w:rPr>
        <w:t xml:space="preserve"> тыс.</w:t>
      </w:r>
      <w:r w:rsidR="00D6296F" w:rsidRPr="00767D63">
        <w:rPr>
          <w:iCs/>
        </w:rPr>
        <w:t xml:space="preserve"> кв.</w:t>
      </w:r>
      <w:r w:rsidR="00755819" w:rsidRPr="00767D63">
        <w:rPr>
          <w:iCs/>
        </w:rPr>
        <w:t xml:space="preserve"> </w:t>
      </w:r>
      <w:r w:rsidR="00D6296F" w:rsidRPr="00767D63">
        <w:rPr>
          <w:iCs/>
        </w:rPr>
        <w:t>метров</w:t>
      </w:r>
      <w:proofErr w:type="gramEnd"/>
      <w:r w:rsidR="00C46A40" w:rsidRPr="00767D63">
        <w:rPr>
          <w:iCs/>
        </w:rPr>
        <w:t xml:space="preserve">. </w:t>
      </w:r>
      <w:proofErr w:type="gramStart"/>
      <w:r w:rsidR="00C46A40" w:rsidRPr="00767D63">
        <w:rPr>
          <w:iCs/>
        </w:rPr>
        <w:t xml:space="preserve">Основными причинами возникновения земельных участков, в отношении которых с момента предоставления в течение 5 лет не получено разрешение на ввод в эксплуатацию, являются: отсутствие источников финансирования у застройщиков, высокие проценты по банковским кредитам, сложившаяся судебная практика в пользу предпринимателей и физических лиц в отношении земельных участков, подлежащих изъятию в связи с </w:t>
      </w:r>
      <w:proofErr w:type="spellStart"/>
      <w:r w:rsidR="00C46A40" w:rsidRPr="00767D63">
        <w:rPr>
          <w:iCs/>
        </w:rPr>
        <w:t>неосвоением</w:t>
      </w:r>
      <w:proofErr w:type="spellEnd"/>
      <w:r w:rsidR="00C46A40" w:rsidRPr="00767D63">
        <w:rPr>
          <w:iCs/>
        </w:rPr>
        <w:t>.</w:t>
      </w:r>
      <w:proofErr w:type="gramEnd"/>
    </w:p>
    <w:p w:rsidR="004531BF" w:rsidRPr="00767D63" w:rsidRDefault="004531BF" w:rsidP="008038E7">
      <w:pPr>
        <w:tabs>
          <w:tab w:val="left" w:pos="709"/>
        </w:tabs>
        <w:ind w:right="-1" w:firstLine="567"/>
        <w:jc w:val="both"/>
      </w:pPr>
      <w:r w:rsidRPr="00767D63">
        <w:t xml:space="preserve">Одним из положительных факторов, влияющих на развитие строительной отрасли, является наличие нормативно-правовых актов в области градостроительства: </w:t>
      </w:r>
    </w:p>
    <w:p w:rsidR="004531BF" w:rsidRPr="00767D63" w:rsidRDefault="004531BF" w:rsidP="008038E7">
      <w:pPr>
        <w:ind w:firstLine="567"/>
        <w:jc w:val="both"/>
      </w:pPr>
      <w:r w:rsidRPr="00767D63">
        <w:t>- Генеральный план МО ГО «Сыктывкар», утвержденный решением Совета МО ГО «Сыктывкар» от 11.12.2009 №26/12-482;</w:t>
      </w:r>
    </w:p>
    <w:p w:rsidR="004531BF" w:rsidRPr="00767D63" w:rsidRDefault="004531BF" w:rsidP="008038E7">
      <w:pPr>
        <w:ind w:firstLine="567"/>
        <w:jc w:val="both"/>
      </w:pPr>
      <w:r w:rsidRPr="00767D63">
        <w:t xml:space="preserve">- Правила землепользования и застройки </w:t>
      </w:r>
      <w:r w:rsidR="002E00DB" w:rsidRPr="00767D63">
        <w:t xml:space="preserve">МО ГО «Сыктывкар» </w:t>
      </w:r>
      <w:r w:rsidRPr="00767D63">
        <w:t>утвержденные решением Совета МО ГО «Сыктывкар» от 30.04.2010 №31/04-560.</w:t>
      </w:r>
    </w:p>
    <w:p w:rsidR="00C46A40" w:rsidRPr="00767D63" w:rsidRDefault="00C46A40" w:rsidP="008038E7">
      <w:pPr>
        <w:ind w:firstLine="567"/>
        <w:jc w:val="both"/>
      </w:pPr>
      <w:r w:rsidRPr="00767D63">
        <w:t>В плановом периоде</w:t>
      </w:r>
      <w:r w:rsidR="00755819" w:rsidRPr="00767D63">
        <w:t xml:space="preserve"> продолжится работа над улучшениями </w:t>
      </w:r>
      <w:r w:rsidRPr="00767D63">
        <w:t>значени</w:t>
      </w:r>
      <w:r w:rsidR="00755819" w:rsidRPr="00767D63">
        <w:t>й</w:t>
      </w:r>
      <w:r w:rsidRPr="00767D63">
        <w:t xml:space="preserve"> показателей. </w:t>
      </w:r>
    </w:p>
    <w:p w:rsidR="0009632C" w:rsidRPr="00767D63" w:rsidRDefault="0009632C" w:rsidP="008038E7">
      <w:pPr>
        <w:ind w:left="72" w:firstLine="567"/>
        <w:jc w:val="center"/>
        <w:rPr>
          <w:b/>
        </w:rPr>
      </w:pPr>
    </w:p>
    <w:p w:rsidR="00D94C95" w:rsidRPr="00767D63" w:rsidRDefault="00C46A40" w:rsidP="008038E7">
      <w:pPr>
        <w:jc w:val="center"/>
        <w:outlineLvl w:val="0"/>
        <w:rPr>
          <w:b/>
        </w:rPr>
      </w:pPr>
      <w:r w:rsidRPr="00767D63">
        <w:rPr>
          <w:b/>
        </w:rPr>
        <w:t xml:space="preserve">7. </w:t>
      </w:r>
      <w:r w:rsidR="0080626E" w:rsidRPr="00767D63">
        <w:rPr>
          <w:b/>
        </w:rPr>
        <w:t>Ж</w:t>
      </w:r>
      <w:r w:rsidR="00D94C95" w:rsidRPr="00767D63">
        <w:rPr>
          <w:b/>
        </w:rPr>
        <w:t>илищно-коммунальное хозяйство</w:t>
      </w:r>
    </w:p>
    <w:p w:rsidR="00C46A40" w:rsidRPr="00767D63" w:rsidRDefault="00C46A40" w:rsidP="008038E7">
      <w:pPr>
        <w:jc w:val="center"/>
        <w:rPr>
          <w:b/>
        </w:rPr>
      </w:pPr>
    </w:p>
    <w:p w:rsidR="00C46A40" w:rsidRPr="00767D63" w:rsidRDefault="00F9707E" w:rsidP="008038E7">
      <w:pPr>
        <w:ind w:firstLine="709"/>
        <w:jc w:val="both"/>
        <w:rPr>
          <w:rFonts w:eastAsia="Times New Roman"/>
          <w:highlight w:val="yellow"/>
        </w:rPr>
      </w:pPr>
      <w:r w:rsidRPr="00767D63">
        <w:t>Значение показателя «</w:t>
      </w:r>
      <w:r w:rsidRPr="00767D63">
        <w:rPr>
          <w:i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</w:t>
      </w:r>
      <w:r w:rsidRPr="00767D63">
        <w:t xml:space="preserve"> в 20</w:t>
      </w:r>
      <w:r w:rsidR="00D61B40" w:rsidRPr="00767D63">
        <w:t>20</w:t>
      </w:r>
      <w:r w:rsidRPr="00767D63">
        <w:t xml:space="preserve"> году составил </w:t>
      </w:r>
      <w:r w:rsidR="00E4460C" w:rsidRPr="00767D63">
        <w:t>64,98</w:t>
      </w:r>
      <w:r w:rsidR="007A5A91" w:rsidRPr="00767D63">
        <w:t>%</w:t>
      </w:r>
      <w:r w:rsidR="000402AE" w:rsidRPr="00767D63">
        <w:t xml:space="preserve"> (201</w:t>
      </w:r>
      <w:r w:rsidR="00D61B40" w:rsidRPr="00767D63">
        <w:t>9</w:t>
      </w:r>
      <w:r w:rsidR="000402AE" w:rsidRPr="00767D63">
        <w:t xml:space="preserve"> – </w:t>
      </w:r>
      <w:r w:rsidR="00D61B40" w:rsidRPr="00767D63">
        <w:t>64,98</w:t>
      </w:r>
      <w:r w:rsidR="000402AE" w:rsidRPr="00767D63">
        <w:t>%)</w:t>
      </w:r>
      <w:r w:rsidR="007A5A91" w:rsidRPr="00767D63">
        <w:t>.</w:t>
      </w:r>
      <w:r w:rsidR="008B484C" w:rsidRPr="00767D63">
        <w:t xml:space="preserve"> </w:t>
      </w:r>
      <w:r w:rsidR="00C46A40" w:rsidRPr="00767D63">
        <w:rPr>
          <w:rFonts w:eastAsia="Times New Roman"/>
        </w:rPr>
        <w:tab/>
      </w:r>
    </w:p>
    <w:p w:rsidR="00905631" w:rsidRPr="00767D63" w:rsidRDefault="00905631" w:rsidP="008038E7">
      <w:pPr>
        <w:ind w:firstLine="709"/>
        <w:jc w:val="both"/>
        <w:rPr>
          <w:rFonts w:eastAsia="Times New Roman"/>
        </w:rPr>
      </w:pPr>
      <w:proofErr w:type="gramStart"/>
      <w:r w:rsidRPr="00767D63">
        <w:rPr>
          <w:rFonts w:eastAsia="Times New Roman"/>
        </w:rPr>
        <w:t>По состоянию на 01.01.2021 на территории МО ГО «Сыктывкар» расположены 2894 многоквартирных дома (далее - МКД), из них 1328 дом - в деревянном исполнении.</w:t>
      </w:r>
      <w:proofErr w:type="gramEnd"/>
      <w:r w:rsidRPr="00767D63">
        <w:rPr>
          <w:rFonts w:eastAsia="Times New Roman"/>
        </w:rPr>
        <w:t xml:space="preserve"> На территории МО ГО «Сыктывкар» действуют 67 управляющие  организации, в управлении которых находится 1948 домов. Собственники помещений 626 жилых домов выбрали непосредственный способ управления домом. В 320 МКД созданы товарищества собственников жилья и жилищно-строительных кооператива. В 2020 году Управлением ЖКХ администрации МО ГО «Сыктывкар» проведено 5 конкурсов по отбору управляющих организаций для управления домами (в 2019 году- 15 конкурсов).</w:t>
      </w:r>
    </w:p>
    <w:p w:rsidR="00B35069" w:rsidRPr="00767D63" w:rsidRDefault="00D07771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Разъяснительная работа </w:t>
      </w:r>
      <w:r w:rsidR="00C46A40" w:rsidRPr="00767D63">
        <w:rPr>
          <w:rFonts w:eastAsia="Times New Roman"/>
        </w:rPr>
        <w:t xml:space="preserve">среди собственников о необходимости выбора формы управлением дома </w:t>
      </w:r>
      <w:r w:rsidRPr="00767D63">
        <w:rPr>
          <w:rFonts w:eastAsia="Times New Roman"/>
        </w:rPr>
        <w:t>в плановом периоде будет продолжена.</w:t>
      </w:r>
    </w:p>
    <w:p w:rsidR="00C46A40" w:rsidRPr="00767D63" w:rsidRDefault="00C46A40" w:rsidP="008038E7">
      <w:pPr>
        <w:ind w:firstLine="709"/>
        <w:jc w:val="both"/>
        <w:rPr>
          <w:rFonts w:eastAsia="Times New Roman"/>
        </w:rPr>
      </w:pPr>
      <w:r w:rsidRPr="00767D63">
        <w:rPr>
          <w:rFonts w:eastAsia="Times New Roman"/>
        </w:rPr>
        <w:t>Значение показателя «</w:t>
      </w:r>
      <w:r w:rsidRPr="00767D63">
        <w:rPr>
          <w:rFonts w:eastAsia="Times New Roman"/>
          <w:i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767D63">
        <w:rPr>
          <w:rFonts w:eastAsia="Times New Roman"/>
          <w:i/>
        </w:rPr>
        <w:t>о-</w:t>
      </w:r>
      <w:proofErr w:type="gramEnd"/>
      <w:r w:rsidRPr="00767D63">
        <w:rPr>
          <w:rFonts w:eastAsia="Times New Roman"/>
          <w:i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</w:t>
      </w:r>
      <w:r w:rsidRPr="00767D63">
        <w:rPr>
          <w:rFonts w:eastAsia="Times New Roman"/>
        </w:rPr>
        <w:t>)» в 20</w:t>
      </w:r>
      <w:r w:rsidR="00905631" w:rsidRPr="00767D63">
        <w:rPr>
          <w:rFonts w:eastAsia="Times New Roman"/>
        </w:rPr>
        <w:t>20</w:t>
      </w:r>
      <w:r w:rsidRPr="00767D63">
        <w:rPr>
          <w:rFonts w:eastAsia="Times New Roman"/>
        </w:rPr>
        <w:t xml:space="preserve"> году сохранено на уровне 201</w:t>
      </w:r>
      <w:r w:rsidR="00905631" w:rsidRPr="00767D63">
        <w:rPr>
          <w:rFonts w:eastAsia="Times New Roman"/>
        </w:rPr>
        <w:t>9</w:t>
      </w:r>
      <w:r w:rsidRPr="00767D63">
        <w:rPr>
          <w:rFonts w:eastAsia="Times New Roman"/>
        </w:rPr>
        <w:t xml:space="preserve"> года – 84,62%. Сохранение значения показателя обусловлено сохранением количества указанных предприятий (предприятий, с участием городского </w:t>
      </w:r>
      <w:proofErr w:type="gramStart"/>
      <w:r w:rsidRPr="00767D63">
        <w:rPr>
          <w:rFonts w:eastAsia="Times New Roman"/>
        </w:rPr>
        <w:t>округа</w:t>
      </w:r>
      <w:proofErr w:type="gramEnd"/>
      <w:r w:rsidRPr="00767D63">
        <w:rPr>
          <w:rFonts w:eastAsia="Times New Roman"/>
        </w:rPr>
        <w:t xml:space="preserve"> в уставном капитале которых составляет не более 25 процентов). В плановом периоде значение показателя не изменится. Мероприятий по сокращению / увеличению количества организаций не запланировано.</w:t>
      </w:r>
    </w:p>
    <w:p w:rsidR="000402AE" w:rsidRPr="00767D63" w:rsidRDefault="00F9707E" w:rsidP="008038E7">
      <w:pPr>
        <w:ind w:firstLine="709"/>
        <w:jc w:val="both"/>
        <w:rPr>
          <w:highlight w:val="yellow"/>
        </w:rPr>
      </w:pPr>
      <w:r w:rsidRPr="00767D63">
        <w:t>Показатель «</w:t>
      </w:r>
      <w:r w:rsidRPr="00767D63">
        <w:rPr>
          <w:i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767D63">
        <w:t xml:space="preserve">» </w:t>
      </w:r>
      <w:r w:rsidR="00262B7D" w:rsidRPr="00767D63">
        <w:rPr>
          <w:iCs/>
        </w:rPr>
        <w:t>в 20</w:t>
      </w:r>
      <w:r w:rsidR="00D61B40" w:rsidRPr="00767D63">
        <w:rPr>
          <w:iCs/>
        </w:rPr>
        <w:t>20</w:t>
      </w:r>
      <w:r w:rsidR="00262B7D" w:rsidRPr="00767D63">
        <w:rPr>
          <w:iCs/>
        </w:rPr>
        <w:t xml:space="preserve"> году </w:t>
      </w:r>
      <w:r w:rsidR="002E00DB" w:rsidRPr="00767D63">
        <w:rPr>
          <w:iCs/>
        </w:rPr>
        <w:t xml:space="preserve">составил </w:t>
      </w:r>
      <w:r w:rsidR="00D61B40" w:rsidRPr="00767D63">
        <w:rPr>
          <w:iCs/>
        </w:rPr>
        <w:t>64,0</w:t>
      </w:r>
      <w:r w:rsidR="002E00DB" w:rsidRPr="00767D63">
        <w:rPr>
          <w:iCs/>
        </w:rPr>
        <w:t>%</w:t>
      </w:r>
      <w:r w:rsidR="000402AE" w:rsidRPr="00767D63">
        <w:rPr>
          <w:iCs/>
        </w:rPr>
        <w:t xml:space="preserve"> (годом ранее – </w:t>
      </w:r>
      <w:r w:rsidR="00D61B40" w:rsidRPr="00767D63">
        <w:rPr>
          <w:iCs/>
        </w:rPr>
        <w:t>63,0</w:t>
      </w:r>
      <w:r w:rsidR="000402AE" w:rsidRPr="00767D63">
        <w:rPr>
          <w:iCs/>
        </w:rPr>
        <w:t>%)</w:t>
      </w:r>
      <w:r w:rsidR="002E00DB" w:rsidRPr="00767D63">
        <w:rPr>
          <w:iCs/>
        </w:rPr>
        <w:t>.</w:t>
      </w:r>
      <w:r w:rsidR="000402AE" w:rsidRPr="00767D63">
        <w:t xml:space="preserve"> В плановом периоде </w:t>
      </w:r>
      <w:r w:rsidR="00E01F32" w:rsidRPr="00767D63">
        <w:t>ожидается рост данного показателя</w:t>
      </w:r>
      <w:r w:rsidR="000402AE" w:rsidRPr="00767D63">
        <w:t>. Проведение кадастровых работ в отношении земельных участков, занятых многоквартирными жилыми домами, носит заявительный характер: кадастровые работы проводят собственники многоквартирных домов. Администрацией будет продолжена практика проведения встреч и разъяснительная работа.</w:t>
      </w:r>
    </w:p>
    <w:p w:rsidR="00262B7D" w:rsidRPr="00767D63" w:rsidRDefault="000402AE" w:rsidP="008038E7">
      <w:pPr>
        <w:ind w:left="-142" w:right="-284" w:firstLine="851"/>
        <w:jc w:val="both"/>
      </w:pPr>
      <w:proofErr w:type="gramStart"/>
      <w:r w:rsidRPr="00767D63">
        <w:t>В отчетном периоде значение показателя «</w:t>
      </w:r>
      <w:r w:rsidRPr="00767D63">
        <w:rPr>
          <w:i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767D63">
        <w:t xml:space="preserve">» </w:t>
      </w:r>
      <w:r w:rsidR="008A3767" w:rsidRPr="00767D63">
        <w:t>составило</w:t>
      </w:r>
      <w:r w:rsidR="00F57678" w:rsidRPr="00767D63">
        <w:t xml:space="preserve"> 3,</w:t>
      </w:r>
      <w:r w:rsidR="008A3767" w:rsidRPr="00767D63">
        <w:t>06</w:t>
      </w:r>
      <w:r w:rsidR="00F57678" w:rsidRPr="00767D63">
        <w:t>%</w:t>
      </w:r>
      <w:r w:rsidRPr="00767D63">
        <w:t xml:space="preserve">. </w:t>
      </w:r>
      <w:proofErr w:type="gramEnd"/>
    </w:p>
    <w:p w:rsidR="00CA60F8" w:rsidRPr="00767D63" w:rsidRDefault="00CA60F8" w:rsidP="008038E7">
      <w:pPr>
        <w:ind w:left="-142" w:right="-284" w:firstLine="851"/>
        <w:jc w:val="both"/>
      </w:pPr>
      <w:r w:rsidRPr="00767D63">
        <w:lastRenderedPageBreak/>
        <w:t>Общее количество семей, улучшивших жилищные ус</w:t>
      </w:r>
      <w:r w:rsidR="008A3767" w:rsidRPr="00767D63">
        <w:t>ловия за 2020</w:t>
      </w:r>
      <w:r w:rsidRPr="00767D63">
        <w:t xml:space="preserve"> год, составляет </w:t>
      </w:r>
      <w:r w:rsidR="008A3767" w:rsidRPr="00767D63">
        <w:t>203</w:t>
      </w:r>
      <w:r w:rsidRPr="00767D63">
        <w:t xml:space="preserve"> в том числе: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 xml:space="preserve">- </w:t>
      </w:r>
      <w:r w:rsidR="005E02DA" w:rsidRPr="00767D63">
        <w:t>66</w:t>
      </w:r>
      <w:r w:rsidRPr="00767D63">
        <w:t xml:space="preserve"> граждан, относящихся к категории «дети-сироты и дети, оставшиеся без попечения родителей, лица из числа детей-сирот и детей, оставшихся без попечения родителей»;</w:t>
      </w:r>
    </w:p>
    <w:p w:rsidR="00CA60F8" w:rsidRPr="00767D63" w:rsidRDefault="00CA60F8" w:rsidP="008038E7">
      <w:pPr>
        <w:ind w:left="-142" w:right="-284" w:firstLine="851"/>
        <w:jc w:val="both"/>
      </w:pPr>
      <w:proofErr w:type="gramStart"/>
      <w:r w:rsidRPr="00767D63">
        <w:t xml:space="preserve">- </w:t>
      </w:r>
      <w:r w:rsidR="005E02DA" w:rsidRPr="00767D63">
        <w:t>11</w:t>
      </w:r>
      <w:r w:rsidRPr="00767D63">
        <w:t xml:space="preserve"> молодых семей получили свидетельства на приобретение жилья в рамках мероприятия по обеспечению жильем молодых семей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</w:t>
      </w:r>
      <w:proofErr w:type="gramEnd"/>
      <w:r w:rsidRPr="00767D63">
        <w:t xml:space="preserve"> доступным и комфортным жильем и коммунальными услугами граждан Российской Федерации»;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 xml:space="preserve">- предоставлено </w:t>
      </w:r>
      <w:r w:rsidR="005E02DA" w:rsidRPr="00767D63">
        <w:t>10</w:t>
      </w:r>
      <w:r w:rsidRPr="00767D63">
        <w:t xml:space="preserve"> свидетельств о праве на единовременные денежные выплаты гражданам, установленным Федеральными законами от 12.01.1995 года № 5-ФЗ «О ветеранах» и от 24.11.1995 года № 181-ФЗ «О социальной защите инвалидов в Российской Федерации»;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 xml:space="preserve">- заключено и утверждено Сыктывкарским городским судом Республики Коми </w:t>
      </w:r>
      <w:r w:rsidR="005E02DA" w:rsidRPr="00767D63">
        <w:t>4</w:t>
      </w:r>
      <w:r w:rsidRPr="00767D63">
        <w:t>6 мировых соглашений по предоставлению гражданам жилых помещений с доплатой денежных средств на отделку жилых помещений</w:t>
      </w:r>
      <w:r w:rsidR="005E02DA" w:rsidRPr="00767D63">
        <w:t>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- между 1</w:t>
      </w:r>
      <w:r w:rsidR="005E02DA" w:rsidRPr="00767D63">
        <w:t>5</w:t>
      </w:r>
      <w:r w:rsidRPr="00767D63">
        <w:t xml:space="preserve"> гражданами-взыскателями и администрацией МО ГО «Сыктывкар» заключены договоры социа</w:t>
      </w:r>
      <w:r w:rsidR="005E02DA" w:rsidRPr="00767D63">
        <w:t>льного найма на жилые помещения;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 xml:space="preserve">- </w:t>
      </w:r>
      <w:r w:rsidR="005E02DA" w:rsidRPr="00767D63">
        <w:t>39</w:t>
      </w:r>
      <w:r w:rsidRPr="00767D63">
        <w:t xml:space="preserve"> семей переселено из аварийного жилищного фонда; 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 xml:space="preserve">- </w:t>
      </w:r>
      <w:r w:rsidR="004033CF" w:rsidRPr="00767D63">
        <w:t>16</w:t>
      </w:r>
      <w:r w:rsidRPr="00767D63">
        <w:t xml:space="preserve"> семей обеспечены земельными участками в собственность для строительства жилого помещения.</w:t>
      </w:r>
    </w:p>
    <w:p w:rsidR="004033CF" w:rsidRPr="00767D63" w:rsidRDefault="004033CF" w:rsidP="008038E7">
      <w:pPr>
        <w:ind w:left="-142" w:right="-284" w:firstLine="851"/>
        <w:jc w:val="both"/>
      </w:pPr>
      <w:r w:rsidRPr="00767D63">
        <w:t>Общее количество семей, состоящих на учете для улучшения жилищных условий, составляет 6 639.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Для увеличения  количества граждан, улучшивших жилищные условия и получивших  жилые помещения, в 202</w:t>
      </w:r>
      <w:r w:rsidR="00F87B29" w:rsidRPr="00767D63">
        <w:t>1</w:t>
      </w:r>
      <w:r w:rsidRPr="00767D63">
        <w:t xml:space="preserve"> году определены следующие мероприятия: 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-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- заключен</w:t>
      </w:r>
      <w:r w:rsidR="00F87B29" w:rsidRPr="00767D63">
        <w:t>ие</w:t>
      </w:r>
      <w:r w:rsidRPr="00767D63">
        <w:t xml:space="preserve"> мировых соглашений по выплате гражданам, имеющим судебные решения о предоставлении жилых помещений, денежной компенсации стоимости благоустроенного жилого помещения;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- предоставление единовременных денежных выплат отдельным категориям граждан, установленных федеральными законами № 5-ФЗ «О ветеранах» и № 181-ФЗ «О социальной защите инвалидов в Российской Федерации», за счет средств субвенций, поступающих из федерального бюджета;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- предоставление социальных выплат молодым семьям на приобретение жилого помещения или создание объекта индивидуального жилищного строительства;</w:t>
      </w:r>
    </w:p>
    <w:p w:rsidR="00CA60F8" w:rsidRPr="00767D63" w:rsidRDefault="00CA60F8" w:rsidP="008038E7">
      <w:pPr>
        <w:ind w:left="-142" w:right="-284" w:firstLine="851"/>
        <w:jc w:val="both"/>
      </w:pPr>
      <w:r w:rsidRPr="00767D63">
        <w:t>- обеспечение мероприятий по переселению граждан из аварийного жилищного фонда.</w:t>
      </w:r>
    </w:p>
    <w:p w:rsidR="002D0642" w:rsidRPr="00767D63" w:rsidRDefault="00CA60F8" w:rsidP="008038E7">
      <w:pPr>
        <w:ind w:left="-142" w:right="-284" w:firstLine="851"/>
        <w:jc w:val="both"/>
        <w:rPr>
          <w:highlight w:val="yellow"/>
        </w:rPr>
      </w:pPr>
      <w:proofErr w:type="gramStart"/>
      <w:r w:rsidRPr="00767D63">
        <w:t>В 202</w:t>
      </w:r>
      <w:r w:rsidR="00F87B29" w:rsidRPr="00767D63">
        <w:t>1</w:t>
      </w:r>
      <w:r w:rsidRPr="00767D63">
        <w:t xml:space="preserve"> году планируется </w:t>
      </w:r>
      <w:r w:rsidR="00F87B29" w:rsidRPr="00767D63">
        <w:t>сохранение</w:t>
      </w:r>
      <w:r w:rsidRPr="00767D63">
        <w:t xml:space="preserve"> доли населения, получившего жилые помещения и улучшившего жилищные условия, за счет </w:t>
      </w:r>
      <w:r w:rsidR="00F87B29" w:rsidRPr="00767D63">
        <w:t>получения</w:t>
      </w:r>
      <w:r w:rsidRPr="00767D63">
        <w:t xml:space="preserve"> финансирования переданных полномочий по обеспечению жилыми помещениями детей-сирот, отдельных категорий граждан, установленных федеральными законами № 5-ФЗ «О ветеранах» и № 181-ФЗ «О социальной защите инвалидов в Российской Федерации», по обеспечению жилыми помещениями детей-сирот и детей, оставшихся без попечения родителей, а также лиц из числа детей-сирот</w:t>
      </w:r>
      <w:proofErr w:type="gramEnd"/>
      <w:r w:rsidRPr="00767D63">
        <w:t xml:space="preserve"> и детей, оставшихся без попечения родителей.</w:t>
      </w:r>
    </w:p>
    <w:p w:rsidR="00CA60F8" w:rsidRPr="00767D63" w:rsidRDefault="00CA60F8" w:rsidP="008038E7">
      <w:pPr>
        <w:jc w:val="center"/>
        <w:outlineLvl w:val="0"/>
        <w:rPr>
          <w:b/>
          <w:highlight w:val="yellow"/>
        </w:rPr>
      </w:pPr>
    </w:p>
    <w:p w:rsidR="00B519F3" w:rsidRPr="00767D63" w:rsidRDefault="000402AE" w:rsidP="008038E7">
      <w:pPr>
        <w:jc w:val="center"/>
        <w:outlineLvl w:val="0"/>
        <w:rPr>
          <w:b/>
        </w:rPr>
      </w:pPr>
      <w:r w:rsidRPr="00767D63">
        <w:rPr>
          <w:b/>
        </w:rPr>
        <w:t xml:space="preserve">8. </w:t>
      </w:r>
      <w:r w:rsidR="00262B7D" w:rsidRPr="00767D63">
        <w:rPr>
          <w:b/>
        </w:rPr>
        <w:t>Организация муниципального управления</w:t>
      </w:r>
    </w:p>
    <w:p w:rsidR="000402AE" w:rsidRPr="00767D63" w:rsidRDefault="000402AE" w:rsidP="008038E7">
      <w:pPr>
        <w:jc w:val="center"/>
        <w:rPr>
          <w:b/>
        </w:rPr>
      </w:pPr>
    </w:p>
    <w:p w:rsidR="00E276D8" w:rsidRPr="00767D63" w:rsidRDefault="00B519F3" w:rsidP="008038E7">
      <w:pPr>
        <w:tabs>
          <w:tab w:val="left" w:pos="993"/>
        </w:tabs>
        <w:ind w:firstLine="709"/>
        <w:jc w:val="both"/>
      </w:pPr>
      <w:proofErr w:type="gramStart"/>
      <w:r w:rsidRPr="00767D63">
        <w:rPr>
          <w:i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</w:t>
      </w:r>
      <w:r w:rsidRPr="00767D63">
        <w:t xml:space="preserve"> в 20</w:t>
      </w:r>
      <w:r w:rsidR="00E276D8" w:rsidRPr="00767D63">
        <w:t>20</w:t>
      </w:r>
      <w:r w:rsidR="00CA60F8" w:rsidRPr="00767D63">
        <w:t xml:space="preserve"> </w:t>
      </w:r>
      <w:r w:rsidRPr="00767D63">
        <w:t xml:space="preserve">году составила </w:t>
      </w:r>
      <w:r w:rsidR="00E276D8" w:rsidRPr="00767D63">
        <w:t>52,3</w:t>
      </w:r>
      <w:r w:rsidRPr="00767D63">
        <w:t>%.</w:t>
      </w:r>
      <w:r w:rsidR="00E276D8" w:rsidRPr="00767D63">
        <w:t xml:space="preserve"> Уменьшение данного показателя произошло по причине снижения налоговых и неналоговых доходов бюджета на 1,2% и увеличения субсидий в 2020 году по сравнению с 2019 годом.</w:t>
      </w:r>
      <w:proofErr w:type="gramEnd"/>
    </w:p>
    <w:p w:rsidR="00E276D8" w:rsidRPr="00767D63" w:rsidRDefault="00E276D8" w:rsidP="008038E7">
      <w:pPr>
        <w:tabs>
          <w:tab w:val="left" w:pos="993"/>
        </w:tabs>
        <w:ind w:firstLine="709"/>
        <w:jc w:val="both"/>
      </w:pPr>
      <w:r w:rsidRPr="00767D63">
        <w:t xml:space="preserve">К 2023 году доля налоговых и неналоговых доходов местного бюджета в общем объеме собственных доходов бюджета (без учета субвенций) достигнет уровня 77,4%, что </w:t>
      </w:r>
      <w:r w:rsidRPr="00767D63">
        <w:lastRenderedPageBreak/>
        <w:t>обусловлено как увеличением объема налоговых и неналоговых доходов, так и отсутствием информации за данный период о безвозмездных поступлениях от других бюджетов бюджетной системы Российской Федерации.</w:t>
      </w:r>
    </w:p>
    <w:p w:rsidR="00E276D8" w:rsidRPr="00767D63" w:rsidRDefault="00E276D8" w:rsidP="008038E7">
      <w:pPr>
        <w:tabs>
          <w:tab w:val="left" w:pos="993"/>
        </w:tabs>
        <w:ind w:firstLine="709"/>
        <w:jc w:val="both"/>
      </w:pPr>
      <w:proofErr w:type="gramStart"/>
      <w:r w:rsidRPr="00767D63">
        <w:t>Для достижения прогнозных значений показателей на 3-летний период будет продолжена работа по увеличению доходов в бюджет МО ГО «Сыктывкар» в соответствии с  Программой оздоровления муниципальных финансов МО ГО «Сыктывкар» на период 2017-2024 годов, утвержденной постановлением администрации МО ГО «Сыктывкар» от 13.07.2017 № 7/2494 и Муниципальной программой МО ГО «Сыктывкар» «Финансы и муниципальный долг», утвержденной постановлением администрации МО ГО "Сыктывкар" от</w:t>
      </w:r>
      <w:proofErr w:type="gramEnd"/>
      <w:r w:rsidRPr="00767D63">
        <w:t xml:space="preserve"> 25.12.2019 № 12/3851 , в том числе путем:</w:t>
      </w:r>
    </w:p>
    <w:p w:rsidR="00E276D8" w:rsidRPr="00767D63" w:rsidRDefault="00E276D8" w:rsidP="008038E7">
      <w:pPr>
        <w:tabs>
          <w:tab w:val="left" w:pos="993"/>
        </w:tabs>
        <w:ind w:firstLine="709"/>
        <w:jc w:val="both"/>
      </w:pPr>
      <w:r w:rsidRPr="00767D63">
        <w:t>- осуществления мероприятий по обеспечению поступления всех предусмотренных в городском бюджете доходов, выявлению резервов увеличения платежей в бюджет;</w:t>
      </w:r>
    </w:p>
    <w:p w:rsidR="00E276D8" w:rsidRPr="00767D63" w:rsidRDefault="00E276D8" w:rsidP="008038E7">
      <w:pPr>
        <w:tabs>
          <w:tab w:val="left" w:pos="993"/>
        </w:tabs>
        <w:ind w:firstLine="709"/>
        <w:jc w:val="both"/>
      </w:pPr>
      <w:r w:rsidRPr="00767D63">
        <w:t>- организации работы главных администраторов доходов по сокращению задолженности по платежам в бюджет;</w:t>
      </w:r>
    </w:p>
    <w:p w:rsidR="00E276D8" w:rsidRPr="00767D63" w:rsidRDefault="00E276D8" w:rsidP="008038E7">
      <w:pPr>
        <w:tabs>
          <w:tab w:val="left" w:pos="993"/>
        </w:tabs>
        <w:ind w:firstLine="709"/>
        <w:jc w:val="both"/>
      </w:pPr>
      <w:r w:rsidRPr="00767D63">
        <w:t>- организации  работы по увеличению налогового потенциала в соответствии с Дорожной картой (планом мероприятий) по выявлению несоответствий в юридически значимых информационных источниках об объектах недвижимого имущества на территории МО ГО «Сыктывкар», утвержденной распоряжением администрации МО ГО «Сыктывкар» от 06.05.2016 года № 217-р;</w:t>
      </w:r>
    </w:p>
    <w:p w:rsidR="00E276D8" w:rsidRPr="00767D63" w:rsidRDefault="00E276D8" w:rsidP="008038E7">
      <w:pPr>
        <w:tabs>
          <w:tab w:val="left" w:pos="993"/>
        </w:tabs>
        <w:ind w:firstLine="709"/>
        <w:jc w:val="both"/>
      </w:pPr>
      <w:r w:rsidRPr="00767D63">
        <w:t>- организации работы Комиссии по ликвидации задолженности по выплате заработной платы, платежам в бюджет и внебюджетные фонды и легализации трудовых отношений, действующей в соответствии с постановлением администрации МО ГО «Сыктывкар» от 15.10.2020 № 10/2484.</w:t>
      </w:r>
    </w:p>
    <w:p w:rsidR="0055465B" w:rsidRPr="00767D63" w:rsidRDefault="00166677" w:rsidP="008038E7">
      <w:pPr>
        <w:tabs>
          <w:tab w:val="left" w:pos="993"/>
        </w:tabs>
        <w:ind w:firstLine="709"/>
        <w:jc w:val="both"/>
      </w:pPr>
      <w:r w:rsidRPr="00767D63">
        <w:t>Показатель «</w:t>
      </w:r>
      <w:r w:rsidRPr="00767D63">
        <w:rPr>
          <w:i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Pr="00767D63">
        <w:t>» в 20</w:t>
      </w:r>
      <w:r w:rsidR="00E276D8" w:rsidRPr="00767D63">
        <w:t>20</w:t>
      </w:r>
      <w:r w:rsidRPr="00767D63">
        <w:t xml:space="preserve"> году составил 0</w:t>
      </w:r>
      <w:r w:rsidR="00855DCD" w:rsidRPr="00767D63">
        <w:t>%,</w:t>
      </w:r>
      <w:r w:rsidRPr="00767D63">
        <w:t xml:space="preserve"> </w:t>
      </w:r>
      <w:r w:rsidR="00E276D8" w:rsidRPr="00767D63">
        <w:t>в</w:t>
      </w:r>
      <w:r w:rsidR="0055465B" w:rsidRPr="00767D63">
        <w:t xml:space="preserve"> 20</w:t>
      </w:r>
      <w:r w:rsidR="00E276D8" w:rsidRPr="00767D63">
        <w:t>20</w:t>
      </w:r>
      <w:r w:rsidR="0055465B" w:rsidRPr="00767D63">
        <w:t xml:space="preserve"> году банкротство муниципальных организаций не производилось. В плановом периоде также не ожидается банкротства муниципальных организаций.</w:t>
      </w:r>
    </w:p>
    <w:p w:rsidR="00203198" w:rsidRPr="00767D63" w:rsidRDefault="00166677" w:rsidP="008038E7">
      <w:pPr>
        <w:ind w:firstLine="709"/>
        <w:jc w:val="both"/>
      </w:pPr>
      <w:r w:rsidRPr="00767D63">
        <w:t>Показатель «</w:t>
      </w:r>
      <w:r w:rsidRPr="00767D63">
        <w:rPr>
          <w:i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55465B" w:rsidRPr="00767D63">
        <w:t>»</w:t>
      </w:r>
      <w:r w:rsidRPr="00767D63">
        <w:t>.</w:t>
      </w:r>
      <w:r w:rsidR="00203198" w:rsidRPr="00767D63">
        <w:t xml:space="preserve"> </w:t>
      </w:r>
      <w:proofErr w:type="gramStart"/>
      <w:r w:rsidR="00203198" w:rsidRPr="00767D63">
        <w:t>Показатель равен нулю, так как в соответствии с Постановлением администрации МО ГО «Сыктывкар» от 30.12.2019 № 12/3921 «О мерах по реализации решения Совета МО ГО «Сыктывкар» о бюджете муниципального образования городского округа «Сыктывкар» на текущий финансовый год и плановый период» пунктом 6.14. установлено недопущение образования просроченной кредиторской задолженности и необоснованной дебиторской задолженности.</w:t>
      </w:r>
      <w:proofErr w:type="gramEnd"/>
    </w:p>
    <w:p w:rsidR="00203198" w:rsidRPr="00767D63" w:rsidRDefault="001278A5" w:rsidP="008038E7">
      <w:pPr>
        <w:autoSpaceDE w:val="0"/>
        <w:autoSpaceDN w:val="0"/>
        <w:adjustRightInd w:val="0"/>
        <w:ind w:firstLine="539"/>
        <w:jc w:val="both"/>
      </w:pPr>
      <w:r w:rsidRPr="00767D63">
        <w:t>Значение</w:t>
      </w:r>
      <w:r w:rsidR="00884CC1" w:rsidRPr="00767D63">
        <w:t xml:space="preserve"> показател</w:t>
      </w:r>
      <w:r w:rsidRPr="00767D63">
        <w:t>я</w:t>
      </w:r>
      <w:r w:rsidR="00884CC1" w:rsidRPr="00767D63">
        <w:t xml:space="preserve"> «</w:t>
      </w:r>
      <w:r w:rsidR="00884CC1" w:rsidRPr="00767D63">
        <w:rPr>
          <w:i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884CC1" w:rsidRPr="00767D63">
        <w:t>»</w:t>
      </w:r>
      <w:r w:rsidR="0055465B" w:rsidRPr="00767D63">
        <w:t xml:space="preserve"> - </w:t>
      </w:r>
      <w:r w:rsidR="00E276D8" w:rsidRPr="00767D63">
        <w:t>1 118</w:t>
      </w:r>
      <w:r w:rsidR="0055465B" w:rsidRPr="00767D63">
        <w:t xml:space="preserve"> рублей. </w:t>
      </w:r>
      <w:r w:rsidR="00203198" w:rsidRPr="00767D63">
        <w:t>Объем расходов по показателю включает в себя расходы ст. 211 «Заработная плата», 266 «Социальные пособия и компенсации персоналу в денежной форме»  и 213 «Начисления на оплату труда» в части оплаты труда лиц, замещающих выборные должности, и муниципальных служащих.</w:t>
      </w:r>
    </w:p>
    <w:p w:rsidR="00E276D8" w:rsidRPr="00767D63" w:rsidRDefault="00E276D8" w:rsidP="008038E7">
      <w:pPr>
        <w:autoSpaceDE w:val="0"/>
        <w:autoSpaceDN w:val="0"/>
        <w:adjustRightInd w:val="0"/>
        <w:ind w:firstLine="539"/>
        <w:jc w:val="both"/>
      </w:pPr>
      <w:r w:rsidRPr="00767D63">
        <w:t xml:space="preserve">Расходы произведены с учетом </w:t>
      </w:r>
      <w:proofErr w:type="gramStart"/>
      <w:r w:rsidRPr="00767D63">
        <w:t>увеличения оплаты труда работников органов местного самоуправления</w:t>
      </w:r>
      <w:proofErr w:type="gramEnd"/>
      <w:r w:rsidRPr="00767D63">
        <w:t xml:space="preserve"> с 01.10.2020 года на 3%, в соответствии с Указом Главы Республики Коми от 17.09.2020г. № 99.</w:t>
      </w:r>
    </w:p>
    <w:p w:rsidR="00E877D7" w:rsidRPr="00767D63" w:rsidRDefault="00E877D7" w:rsidP="008038E7">
      <w:pPr>
        <w:autoSpaceDE w:val="0"/>
        <w:autoSpaceDN w:val="0"/>
        <w:adjustRightInd w:val="0"/>
        <w:ind w:firstLine="539"/>
        <w:jc w:val="both"/>
      </w:pPr>
      <w:r w:rsidRPr="00767D63">
        <w:t>Показатель «</w:t>
      </w:r>
      <w:r w:rsidRPr="00767D63">
        <w:rPr>
          <w:i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Pr="00767D63">
        <w:t>» достигнут. Генеральный план утвержден решением Совета МО ГО «Сыктывкар» от 11.12.2009 № 26/12-482.</w:t>
      </w:r>
    </w:p>
    <w:p w:rsidR="00884CC1" w:rsidRPr="00767D63" w:rsidRDefault="00E877D7" w:rsidP="008038E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 w:rsidRPr="00767D63">
        <w:t>В 20</w:t>
      </w:r>
      <w:r w:rsidR="00E276D8" w:rsidRPr="00767D63">
        <w:t>20</w:t>
      </w:r>
      <w:r w:rsidRPr="00767D63">
        <w:t xml:space="preserve"> году произошло снижение </w:t>
      </w:r>
      <w:r w:rsidRPr="00767D63">
        <w:rPr>
          <w:i/>
        </w:rPr>
        <w:t>среднего</w:t>
      </w:r>
      <w:r w:rsidR="00CF2017" w:rsidRPr="00767D63">
        <w:rPr>
          <w:i/>
        </w:rPr>
        <w:t>дов</w:t>
      </w:r>
      <w:r w:rsidRPr="00767D63">
        <w:rPr>
          <w:i/>
        </w:rPr>
        <w:t xml:space="preserve">ой численности населения муниципалитета </w:t>
      </w:r>
      <w:r w:rsidRPr="00767D63">
        <w:t>на 0,2% к уровню 201</w:t>
      </w:r>
      <w:r w:rsidR="00E276D8" w:rsidRPr="00767D63">
        <w:t>9</w:t>
      </w:r>
      <w:r w:rsidRPr="00767D63">
        <w:t xml:space="preserve"> года.</w:t>
      </w:r>
      <w:r w:rsidR="008201A8" w:rsidRPr="00767D63">
        <w:t xml:space="preserve"> Наибольшие изменения в численности населения произошли по причине миграционных процессов.</w:t>
      </w:r>
      <w:r w:rsidRPr="00767D63">
        <w:t xml:space="preserve"> Основными причинами миграции являются переезд в центральную часть РФ подростков – при поступлении на учебу, переезд жителей города в города с более комфортными погодными условиями прожи</w:t>
      </w:r>
      <w:r w:rsidR="00CF2017" w:rsidRPr="00767D63">
        <w:t>вания и более благоприятными условиями для ведения бизнеса или трудоустройства.</w:t>
      </w:r>
      <w:r w:rsidR="00E276D8" w:rsidRPr="00767D63">
        <w:t xml:space="preserve"> Влияние на </w:t>
      </w:r>
      <w:r w:rsidR="00E276D8" w:rsidRPr="00767D63">
        <w:lastRenderedPageBreak/>
        <w:t xml:space="preserve">численность населения также оказала эпидемиологическая обстановка, сложившаяся из-за распространения новой </w:t>
      </w:r>
      <w:proofErr w:type="spellStart"/>
      <w:r w:rsidR="00E276D8" w:rsidRPr="00767D63">
        <w:t>коронавирусной</w:t>
      </w:r>
      <w:proofErr w:type="spellEnd"/>
      <w:r w:rsidR="00E276D8" w:rsidRPr="00767D63">
        <w:t xml:space="preserve"> инфекции.</w:t>
      </w:r>
    </w:p>
    <w:p w:rsidR="00262B7D" w:rsidRPr="00767D63" w:rsidRDefault="00262B7D" w:rsidP="008038E7">
      <w:pPr>
        <w:autoSpaceDE w:val="0"/>
        <w:autoSpaceDN w:val="0"/>
        <w:adjustRightInd w:val="0"/>
        <w:ind w:left="72" w:right="72" w:firstLine="495"/>
        <w:jc w:val="both"/>
        <w:rPr>
          <w:highlight w:val="yellow"/>
        </w:rPr>
      </w:pPr>
      <w:r w:rsidRPr="00767D63">
        <w:t>В 20</w:t>
      </w:r>
      <w:r w:rsidR="00E276D8" w:rsidRPr="00767D63">
        <w:t>20</w:t>
      </w:r>
      <w:r w:rsidRPr="00767D63">
        <w:t xml:space="preserve"> году </w:t>
      </w:r>
      <w:r w:rsidRPr="00767D63">
        <w:rPr>
          <w:i/>
        </w:rPr>
        <w:t>уровень удовлетворенности населения МО ГО «Сыктывкар» деятельностью органов местного самоуправления</w:t>
      </w:r>
      <w:r w:rsidRPr="00767D63">
        <w:t xml:space="preserve"> составил </w:t>
      </w:r>
      <w:r w:rsidR="00384B9E" w:rsidRPr="00767D63">
        <w:t>43,5</w:t>
      </w:r>
      <w:r w:rsidR="00F41EF0" w:rsidRPr="00767D63">
        <w:t xml:space="preserve">%, что на </w:t>
      </w:r>
      <w:r w:rsidR="00384B9E" w:rsidRPr="00767D63">
        <w:t>8,3</w:t>
      </w:r>
      <w:r w:rsidR="00755819" w:rsidRPr="00767D63">
        <w:t xml:space="preserve"> </w:t>
      </w:r>
      <w:proofErr w:type="spellStart"/>
      <w:r w:rsidR="00755819" w:rsidRPr="00767D63">
        <w:t>п.п</w:t>
      </w:r>
      <w:proofErr w:type="spellEnd"/>
      <w:r w:rsidR="00755819" w:rsidRPr="00767D63">
        <w:t>.</w:t>
      </w:r>
      <w:r w:rsidR="00F41EF0" w:rsidRPr="00767D63">
        <w:t xml:space="preserve"> </w:t>
      </w:r>
      <w:r w:rsidR="00384B9E" w:rsidRPr="00767D63">
        <w:t>выше</w:t>
      </w:r>
      <w:r w:rsidR="00F41EF0" w:rsidRPr="00767D63">
        <w:t xml:space="preserve"> уровня 201</w:t>
      </w:r>
      <w:r w:rsidR="00384B9E" w:rsidRPr="00767D63">
        <w:t>9</w:t>
      </w:r>
      <w:r w:rsidR="00F41EF0" w:rsidRPr="00767D63">
        <w:t xml:space="preserve"> года. </w:t>
      </w:r>
      <w:r w:rsidR="00755819" w:rsidRPr="00767D63">
        <w:t xml:space="preserve">В плановом периоде будет организована работа по повышению значения показателя. </w:t>
      </w:r>
    </w:p>
    <w:p w:rsidR="00262B7D" w:rsidRPr="00767D63" w:rsidRDefault="00262B7D" w:rsidP="008038E7">
      <w:pPr>
        <w:autoSpaceDE w:val="0"/>
        <w:autoSpaceDN w:val="0"/>
        <w:adjustRightInd w:val="0"/>
        <w:ind w:left="72" w:right="72" w:firstLine="567"/>
        <w:jc w:val="both"/>
        <w:rPr>
          <w:highlight w:val="yellow"/>
        </w:rPr>
      </w:pPr>
      <w:r w:rsidRPr="00767D63">
        <w:rPr>
          <w:highlight w:val="yellow"/>
        </w:rPr>
        <w:t xml:space="preserve">      </w:t>
      </w:r>
    </w:p>
    <w:p w:rsidR="00D94C95" w:rsidRPr="00767D63" w:rsidRDefault="00525DF4" w:rsidP="008038E7">
      <w:pPr>
        <w:suppressAutoHyphens/>
        <w:jc w:val="center"/>
        <w:outlineLvl w:val="0"/>
        <w:rPr>
          <w:b/>
        </w:rPr>
      </w:pPr>
      <w:r w:rsidRPr="00767D63">
        <w:rPr>
          <w:b/>
        </w:rPr>
        <w:t xml:space="preserve">9. </w:t>
      </w:r>
      <w:r w:rsidR="009F5A46" w:rsidRPr="00767D63">
        <w:rPr>
          <w:b/>
        </w:rPr>
        <w:t>Энергосбережение и повышение энергетической эффективности</w:t>
      </w:r>
    </w:p>
    <w:p w:rsidR="00525DF4" w:rsidRPr="00767D63" w:rsidRDefault="00525DF4" w:rsidP="008038E7">
      <w:pPr>
        <w:suppressAutoHyphens/>
        <w:jc w:val="center"/>
        <w:rPr>
          <w:b/>
          <w:highlight w:val="yellow"/>
        </w:rPr>
      </w:pPr>
    </w:p>
    <w:p w:rsidR="00A74316" w:rsidRPr="00767D63" w:rsidRDefault="00A74316" w:rsidP="008038E7">
      <w:pPr>
        <w:ind w:firstLine="567"/>
        <w:jc w:val="both"/>
      </w:pPr>
      <w:r w:rsidRPr="00767D63">
        <w:t>С целью организации рационального потребления коммунальных ресурсов ежегодно формируются лимиты водоснабжения предприятий и организаций города на основании технических характеристик объектов.</w:t>
      </w:r>
    </w:p>
    <w:p w:rsidR="00C71ECB" w:rsidRPr="00767D63" w:rsidRDefault="00C71ECB" w:rsidP="008038E7">
      <w:pPr>
        <w:ind w:firstLine="567"/>
        <w:jc w:val="both"/>
      </w:pPr>
      <w:r w:rsidRPr="00767D63">
        <w:rPr>
          <w:i/>
        </w:rPr>
        <w:t>Удельная величина потребления энер</w:t>
      </w:r>
      <w:r w:rsidR="00CB358E" w:rsidRPr="00767D63">
        <w:rPr>
          <w:i/>
        </w:rPr>
        <w:t xml:space="preserve">гетических ресурсов в </w:t>
      </w:r>
      <w:r w:rsidR="00DF5431" w:rsidRPr="00767D63">
        <w:rPr>
          <w:i/>
        </w:rPr>
        <w:t>многоквартирных домах</w:t>
      </w:r>
      <w:r w:rsidR="00DF5431" w:rsidRPr="00767D63">
        <w:t xml:space="preserve"> </w:t>
      </w:r>
      <w:r w:rsidR="00CB358E" w:rsidRPr="00767D63">
        <w:t>в 20</w:t>
      </w:r>
      <w:r w:rsidR="00905631" w:rsidRPr="00767D63">
        <w:t>20</w:t>
      </w:r>
      <w:r w:rsidRPr="00767D63">
        <w:t xml:space="preserve"> году распределена следующим образом (данные предоставлены </w:t>
      </w:r>
      <w:proofErr w:type="spellStart"/>
      <w:r w:rsidRPr="00767D63">
        <w:t>ресурсоснабжающими</w:t>
      </w:r>
      <w:proofErr w:type="spellEnd"/>
      <w:r w:rsidRPr="00767D63">
        <w:t xml:space="preserve"> организациями):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электрическая энергия – </w:t>
      </w:r>
      <w:r w:rsidR="00951656">
        <w:t>725,20</w:t>
      </w:r>
      <w:r w:rsidR="007E57E0" w:rsidRPr="00767D63">
        <w:t xml:space="preserve"> </w:t>
      </w:r>
      <w:r w:rsidRPr="00767D63">
        <w:t>кВт*</w:t>
      </w:r>
      <w:proofErr w:type="gramStart"/>
      <w:r w:rsidRPr="00767D63">
        <w:t>ч</w:t>
      </w:r>
      <w:proofErr w:type="gramEnd"/>
      <w:r w:rsidRPr="00767D63">
        <w:t xml:space="preserve"> на 1 проживающего;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тепловая энергия – </w:t>
      </w:r>
      <w:r w:rsidR="00905631" w:rsidRPr="00767D63">
        <w:t>0,</w:t>
      </w:r>
      <w:r w:rsidR="00700757">
        <w:t>13</w:t>
      </w:r>
      <w:r w:rsidR="007E57E0" w:rsidRPr="00767D63">
        <w:t xml:space="preserve"> </w:t>
      </w:r>
      <w:r w:rsidRPr="00767D63">
        <w:t xml:space="preserve">Гкал на 1 </w:t>
      </w:r>
      <w:proofErr w:type="spellStart"/>
      <w:r w:rsidRPr="00767D63">
        <w:t>кв</w:t>
      </w:r>
      <w:proofErr w:type="gramStart"/>
      <w:r w:rsidRPr="00767D63">
        <w:t>.м</w:t>
      </w:r>
      <w:proofErr w:type="spellEnd"/>
      <w:proofErr w:type="gramEnd"/>
      <w:r w:rsidRPr="00767D63">
        <w:t xml:space="preserve"> общей площади;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горячая вода – </w:t>
      </w:r>
      <w:r w:rsidR="00700757">
        <w:t>5,42</w:t>
      </w:r>
      <w:r w:rsidR="007E57E0" w:rsidRPr="00767D63">
        <w:t xml:space="preserve"> </w:t>
      </w:r>
      <w:r w:rsidRPr="00767D63">
        <w:t xml:space="preserve">м3 на 1 </w:t>
      </w:r>
      <w:proofErr w:type="gramStart"/>
      <w:r w:rsidRPr="00767D63">
        <w:t>проживающего</w:t>
      </w:r>
      <w:proofErr w:type="gramEnd"/>
      <w:r w:rsidRPr="00767D63">
        <w:t>;</w:t>
      </w:r>
    </w:p>
    <w:p w:rsidR="00C71ECB" w:rsidRPr="00767D63" w:rsidRDefault="00554A4F" w:rsidP="008038E7">
      <w:pPr>
        <w:ind w:firstLine="567"/>
        <w:jc w:val="both"/>
      </w:pPr>
      <w:r w:rsidRPr="00767D63">
        <w:t>•</w:t>
      </w:r>
      <w:r w:rsidRPr="00767D63">
        <w:tab/>
        <w:t xml:space="preserve">холодная вода – </w:t>
      </w:r>
      <w:r w:rsidR="00951656">
        <w:t>33,49</w:t>
      </w:r>
      <w:r w:rsidR="00525DF4" w:rsidRPr="00767D63">
        <w:t xml:space="preserve"> </w:t>
      </w:r>
      <w:r w:rsidR="00C71ECB" w:rsidRPr="00767D63">
        <w:t xml:space="preserve">м3 на 1 </w:t>
      </w:r>
      <w:proofErr w:type="gramStart"/>
      <w:r w:rsidR="00C71ECB" w:rsidRPr="00767D63">
        <w:t>проживающего</w:t>
      </w:r>
      <w:proofErr w:type="gramEnd"/>
      <w:r w:rsidR="00C71ECB" w:rsidRPr="00767D63">
        <w:t>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природный газ – </w:t>
      </w:r>
      <w:r w:rsidR="00E874E8" w:rsidRPr="00767D63">
        <w:t>11</w:t>
      </w:r>
      <w:r w:rsidR="00525DF4" w:rsidRPr="00767D63">
        <w:t xml:space="preserve">4,83 </w:t>
      </w:r>
      <w:r w:rsidRPr="00767D63">
        <w:t xml:space="preserve">м3 на 1 </w:t>
      </w:r>
      <w:proofErr w:type="gramStart"/>
      <w:r w:rsidRPr="00767D63">
        <w:t>проживающего</w:t>
      </w:r>
      <w:proofErr w:type="gramEnd"/>
      <w:r w:rsidRPr="00767D63">
        <w:t>.</w:t>
      </w:r>
    </w:p>
    <w:p w:rsidR="00905631" w:rsidRPr="00767D63" w:rsidRDefault="00951656" w:rsidP="008038E7">
      <w:pPr>
        <w:ind w:firstLine="567"/>
        <w:jc w:val="both"/>
      </w:pPr>
      <w:r>
        <w:t>Снижение</w:t>
      </w:r>
      <w:r w:rsidR="00905631" w:rsidRPr="00767D63">
        <w:t xml:space="preserve"> удельной величины потребления энергетических ресурсов в многоквартирных домах (МКД) обусловлено </w:t>
      </w:r>
      <w:r w:rsidR="00103214" w:rsidRPr="00103214">
        <w:t xml:space="preserve">проведением управляющими и обслуживающими организациями, ТСЖ мероприятий по энергосбережению и </w:t>
      </w:r>
      <w:proofErr w:type="spellStart"/>
      <w:r w:rsidR="00103214" w:rsidRPr="00103214">
        <w:t>энергоэффективности</w:t>
      </w:r>
      <w:proofErr w:type="spellEnd"/>
      <w:r w:rsidR="00103214" w:rsidRPr="00103214">
        <w:t>.</w:t>
      </w:r>
      <w:r w:rsidR="00905631" w:rsidRPr="00767D63">
        <w:t xml:space="preserve"> Проведение администрацией МО ГО «Сыктывкар», управляющими организациями, ТСЖ мероприятий по энергосбережению и </w:t>
      </w:r>
      <w:proofErr w:type="spellStart"/>
      <w:r w:rsidR="00905631" w:rsidRPr="00767D63">
        <w:t>энергоэффективности</w:t>
      </w:r>
      <w:proofErr w:type="spellEnd"/>
      <w:r w:rsidR="00905631" w:rsidRPr="00767D63">
        <w:t xml:space="preserve"> позволит </w:t>
      </w:r>
      <w:r w:rsidR="00384B9E" w:rsidRPr="00767D63">
        <w:t xml:space="preserve">сохранить </w:t>
      </w:r>
      <w:r w:rsidR="00905631" w:rsidRPr="00767D63">
        <w:t xml:space="preserve">значение показателя </w:t>
      </w:r>
      <w:r w:rsidR="00384B9E" w:rsidRPr="00767D63">
        <w:t>на достигнутом уровне</w:t>
      </w:r>
      <w:r w:rsidR="00905631" w:rsidRPr="00767D63">
        <w:t>.</w:t>
      </w:r>
    </w:p>
    <w:p w:rsidR="00384B9E" w:rsidRPr="00767D63" w:rsidRDefault="00700757" w:rsidP="008038E7">
      <w:pPr>
        <w:ind w:firstLine="567"/>
        <w:jc w:val="both"/>
      </w:pPr>
      <w:r>
        <w:t>З</w:t>
      </w:r>
      <w:r w:rsidR="00384B9E" w:rsidRPr="00767D63">
        <w:t>начени</w:t>
      </w:r>
      <w:r>
        <w:t>е</w:t>
      </w:r>
      <w:r w:rsidR="00384B9E" w:rsidRPr="00767D63">
        <w:t xml:space="preserve"> показателя  величины потребления тепловой энергии </w:t>
      </w:r>
      <w:r>
        <w:t>осталось на уровне 2019 года</w:t>
      </w:r>
      <w:r w:rsidR="00384B9E" w:rsidRPr="00767D63">
        <w:t xml:space="preserve">. В плановом периоде работы по сохранению показателя будут продолжены. </w:t>
      </w:r>
    </w:p>
    <w:p w:rsidR="00384B9E" w:rsidRPr="00767D63" w:rsidRDefault="00384B9E" w:rsidP="008038E7">
      <w:pPr>
        <w:ind w:firstLine="567"/>
        <w:jc w:val="both"/>
      </w:pPr>
      <w:r w:rsidRPr="00767D63">
        <w:t xml:space="preserve"> </w:t>
      </w:r>
      <w:r w:rsidR="00103214">
        <w:t>Снижение з</w:t>
      </w:r>
      <w:r w:rsidRPr="00767D63">
        <w:t>начени</w:t>
      </w:r>
      <w:r w:rsidR="00103214">
        <w:t>я</w:t>
      </w:r>
      <w:r w:rsidRPr="00767D63">
        <w:t xml:space="preserve"> показателя потребления горячей воды </w:t>
      </w:r>
      <w:r w:rsidR="00103214" w:rsidRPr="00103214">
        <w:t xml:space="preserve">обусловлено проведением управляющими и обслуживающими организациями, ТСЖ, собственниками помещений МКД мероприятий по энергосбережению и </w:t>
      </w:r>
      <w:proofErr w:type="spellStart"/>
      <w:r w:rsidR="00103214" w:rsidRPr="00103214">
        <w:t>энергоэффективности</w:t>
      </w:r>
      <w:proofErr w:type="spellEnd"/>
      <w:r w:rsidR="00103214" w:rsidRPr="00103214">
        <w:t>.</w:t>
      </w:r>
    </w:p>
    <w:p w:rsidR="00384B9E" w:rsidRPr="00767D63" w:rsidRDefault="00103214" w:rsidP="008038E7">
      <w:pPr>
        <w:ind w:firstLine="567"/>
        <w:jc w:val="both"/>
      </w:pPr>
      <w:r>
        <w:t>Увеличение</w:t>
      </w:r>
      <w:r w:rsidR="00384B9E" w:rsidRPr="00767D63">
        <w:t xml:space="preserve"> показателя потребления холодной воды </w:t>
      </w:r>
      <w:r w:rsidRPr="00103214">
        <w:t xml:space="preserve">обусловлено  ростом потребления ресурса в связи переводом сотрудников предприятий в режим удаленной работы из-за распространения </w:t>
      </w:r>
      <w:proofErr w:type="spellStart"/>
      <w:r w:rsidRPr="00103214">
        <w:t>короновирусной</w:t>
      </w:r>
      <w:proofErr w:type="spellEnd"/>
      <w:r w:rsidRPr="00103214">
        <w:t xml:space="preserve"> инфекции.</w:t>
      </w:r>
      <w:r>
        <w:t xml:space="preserve"> В</w:t>
      </w:r>
      <w:r w:rsidR="00384B9E" w:rsidRPr="00767D63">
        <w:t xml:space="preserve"> плановом периоде мероприятия будут продолжены.  </w:t>
      </w:r>
    </w:p>
    <w:p w:rsidR="00C71ECB" w:rsidRPr="00767D63" w:rsidRDefault="00C71ECB" w:rsidP="008038E7">
      <w:pPr>
        <w:ind w:firstLine="567"/>
        <w:jc w:val="both"/>
      </w:pPr>
      <w:r w:rsidRPr="00767D63">
        <w:t>Удельная величина потребления энергетических ресурсов в муниципальных бюджетных учреждениях в 20</w:t>
      </w:r>
      <w:r w:rsidR="00384B9E" w:rsidRPr="00767D63">
        <w:t>20</w:t>
      </w:r>
      <w:r w:rsidRPr="00767D63">
        <w:t xml:space="preserve"> году составила: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электрическая энергия – </w:t>
      </w:r>
      <w:r w:rsidR="00384B9E" w:rsidRPr="00767D63">
        <w:t>45,43</w:t>
      </w:r>
      <w:r w:rsidR="007E57E0" w:rsidRPr="00767D63">
        <w:t xml:space="preserve"> </w:t>
      </w:r>
      <w:r w:rsidRPr="00767D63">
        <w:t>кВт*</w:t>
      </w:r>
      <w:proofErr w:type="gramStart"/>
      <w:r w:rsidRPr="00767D63">
        <w:t>ч</w:t>
      </w:r>
      <w:proofErr w:type="gramEnd"/>
      <w:r w:rsidRPr="00767D63">
        <w:t xml:space="preserve"> на 1 человека населения;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тепловая энергия – </w:t>
      </w:r>
      <w:r w:rsidR="007E57E0" w:rsidRPr="00767D63">
        <w:t>0,</w:t>
      </w:r>
      <w:r w:rsidR="00384B9E" w:rsidRPr="00767D63">
        <w:t>41</w:t>
      </w:r>
      <w:r w:rsidR="007E57E0" w:rsidRPr="00767D63">
        <w:t xml:space="preserve"> </w:t>
      </w:r>
      <w:r w:rsidRPr="00767D63">
        <w:t xml:space="preserve">Гкал на 1 </w:t>
      </w:r>
      <w:proofErr w:type="spellStart"/>
      <w:r w:rsidRPr="00767D63">
        <w:t>кв</w:t>
      </w:r>
      <w:proofErr w:type="gramStart"/>
      <w:r w:rsidRPr="00767D63">
        <w:t>.м</w:t>
      </w:r>
      <w:proofErr w:type="spellEnd"/>
      <w:proofErr w:type="gramEnd"/>
      <w:r w:rsidRPr="00767D63">
        <w:t xml:space="preserve"> общей площади;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горячая вода – </w:t>
      </w:r>
      <w:r w:rsidR="007E57E0" w:rsidRPr="00767D63">
        <w:t>0,</w:t>
      </w:r>
      <w:r w:rsidR="00384B9E" w:rsidRPr="00767D63">
        <w:t>42</w:t>
      </w:r>
      <w:r w:rsidR="007E57E0" w:rsidRPr="00767D63">
        <w:t xml:space="preserve"> </w:t>
      </w:r>
      <w:r w:rsidRPr="00767D63">
        <w:t>м3 на 1 человека населения;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 xml:space="preserve">холодная вода – </w:t>
      </w:r>
      <w:r w:rsidR="00924462" w:rsidRPr="00767D63">
        <w:t>1,</w:t>
      </w:r>
      <w:r w:rsidR="00384B9E" w:rsidRPr="00767D63">
        <w:t>18</w:t>
      </w:r>
      <w:r w:rsidR="007E57E0" w:rsidRPr="00767D63">
        <w:t xml:space="preserve"> </w:t>
      </w:r>
      <w:r w:rsidRPr="00767D63">
        <w:t>м3 на 1 человека населения;</w:t>
      </w:r>
    </w:p>
    <w:p w:rsidR="00C71ECB" w:rsidRPr="00767D63" w:rsidRDefault="00C71ECB" w:rsidP="008038E7">
      <w:pPr>
        <w:ind w:firstLine="567"/>
        <w:jc w:val="both"/>
      </w:pPr>
      <w:r w:rsidRPr="00767D63">
        <w:t>•</w:t>
      </w:r>
      <w:r w:rsidRPr="00767D63">
        <w:tab/>
        <w:t>природный газ – 0</w:t>
      </w:r>
      <w:r w:rsidR="00525DF4" w:rsidRPr="00767D63">
        <w:t>,</w:t>
      </w:r>
      <w:r w:rsidR="00384B9E" w:rsidRPr="00767D63">
        <w:t>46</w:t>
      </w:r>
      <w:r w:rsidR="00535C58" w:rsidRPr="00767D63">
        <w:t xml:space="preserve"> </w:t>
      </w:r>
      <w:r w:rsidRPr="00767D63">
        <w:t>м3 на 1 человека населения.</w:t>
      </w:r>
    </w:p>
    <w:p w:rsidR="00924462" w:rsidRPr="00767D63" w:rsidRDefault="00535C58" w:rsidP="008038E7">
      <w:pPr>
        <w:ind w:firstLine="567"/>
        <w:jc w:val="both"/>
      </w:pPr>
      <w:r w:rsidRPr="00767D63">
        <w:t>Снижение</w:t>
      </w:r>
      <w:r w:rsidR="00525DF4" w:rsidRPr="00767D63">
        <w:t xml:space="preserve"> </w:t>
      </w:r>
      <w:r w:rsidR="00924462" w:rsidRPr="00767D63">
        <w:t xml:space="preserve">значения показателя по электрической энергии обусловлено </w:t>
      </w:r>
      <w:r w:rsidR="00A60660" w:rsidRPr="00767D63">
        <w:t xml:space="preserve">заменой ламп накаливания </w:t>
      </w:r>
      <w:proofErr w:type="gramStart"/>
      <w:r w:rsidR="00A60660" w:rsidRPr="00767D63">
        <w:t>на</w:t>
      </w:r>
      <w:proofErr w:type="gramEnd"/>
      <w:r w:rsidR="00A60660" w:rsidRPr="00767D63">
        <w:t xml:space="preserve"> светодиодные</w:t>
      </w:r>
      <w:r w:rsidR="00525DF4" w:rsidRPr="00767D63">
        <w:t xml:space="preserve">. </w:t>
      </w:r>
      <w:r w:rsidR="00924462" w:rsidRPr="00767D63">
        <w:t xml:space="preserve"> Администрацией планир</w:t>
      </w:r>
      <w:r w:rsidR="00DF5431" w:rsidRPr="00767D63">
        <w:t>уется продолжить реализацию</w:t>
      </w:r>
      <w:r w:rsidR="00924462" w:rsidRPr="00767D63">
        <w:t xml:space="preserve"> мероприяти</w:t>
      </w:r>
      <w:r w:rsidR="00DF5431" w:rsidRPr="00767D63">
        <w:t>й</w:t>
      </w:r>
      <w:r w:rsidR="00924462" w:rsidRPr="00767D63">
        <w:t xml:space="preserve"> по </w:t>
      </w:r>
      <w:proofErr w:type="spellStart"/>
      <w:r w:rsidR="00924462" w:rsidRPr="00767D63">
        <w:t>энергоэффективности</w:t>
      </w:r>
      <w:proofErr w:type="spellEnd"/>
      <w:r w:rsidR="00924462" w:rsidRPr="00767D63">
        <w:t xml:space="preserve"> и энергосбережению.</w:t>
      </w:r>
    </w:p>
    <w:p w:rsidR="00384B9E" w:rsidRPr="00767D63" w:rsidRDefault="00A60660" w:rsidP="008038E7">
      <w:pPr>
        <w:ind w:firstLine="567"/>
        <w:jc w:val="both"/>
      </w:pPr>
      <w:r w:rsidRPr="00767D63">
        <w:t>Значени</w:t>
      </w:r>
      <w:r w:rsidR="00384B9E" w:rsidRPr="00767D63">
        <w:t>я</w:t>
      </w:r>
      <w:r w:rsidRPr="00767D63">
        <w:t xml:space="preserve"> показател</w:t>
      </w:r>
      <w:r w:rsidR="00384B9E" w:rsidRPr="00767D63">
        <w:t>ей</w:t>
      </w:r>
      <w:r w:rsidRPr="00767D63">
        <w:t xml:space="preserve"> по тепловой энергии</w:t>
      </w:r>
      <w:r w:rsidR="00384B9E" w:rsidRPr="00767D63">
        <w:t xml:space="preserve"> и холодной воде</w:t>
      </w:r>
      <w:r w:rsidRPr="00767D63">
        <w:t xml:space="preserve"> </w:t>
      </w:r>
      <w:r w:rsidR="00384B9E" w:rsidRPr="00767D63">
        <w:t>увеличились на 0,11 Гкал на 1 кв. метр общей площади и 0,09 м3 соответственно. Увеличение удельной величины потребления энергетических ресурсов обусловлено строительством новых объектов.</w:t>
      </w:r>
    </w:p>
    <w:p w:rsidR="00384B9E" w:rsidRPr="00767D63" w:rsidRDefault="00384B9E" w:rsidP="008038E7">
      <w:pPr>
        <w:ind w:firstLine="567"/>
        <w:jc w:val="both"/>
      </w:pPr>
      <w:r w:rsidRPr="00767D63">
        <w:t xml:space="preserve">Снижение значения показателя потребления горячей воды связано с организацией ремонта и </w:t>
      </w:r>
      <w:proofErr w:type="gramStart"/>
      <w:r w:rsidRPr="00767D63">
        <w:t>обслуживания</w:t>
      </w:r>
      <w:proofErr w:type="gramEnd"/>
      <w:r w:rsidRPr="00767D63">
        <w:t xml:space="preserve"> коммунальных </w:t>
      </w:r>
      <w:proofErr w:type="spellStart"/>
      <w:r w:rsidRPr="00767D63">
        <w:t>энергоисточников</w:t>
      </w:r>
      <w:proofErr w:type="spellEnd"/>
      <w:r w:rsidRPr="00767D63">
        <w:t>, установкой индивидуальных приборов учета. В плановом периоде работы будут продолжены.</w:t>
      </w:r>
    </w:p>
    <w:p w:rsidR="007E57E0" w:rsidRPr="00767D63" w:rsidRDefault="00A60660" w:rsidP="008038E7">
      <w:pPr>
        <w:ind w:firstLine="567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Показатель по потреблению природного газа </w:t>
      </w:r>
      <w:r w:rsidR="00384B9E" w:rsidRPr="00767D63">
        <w:rPr>
          <w:rFonts w:eastAsia="Times New Roman"/>
        </w:rPr>
        <w:t>снизился</w:t>
      </w:r>
      <w:r w:rsidRPr="00767D63">
        <w:rPr>
          <w:rFonts w:eastAsia="Times New Roman"/>
        </w:rPr>
        <w:t xml:space="preserve"> в отчетном году на </w:t>
      </w:r>
      <w:r w:rsidR="00384B9E" w:rsidRPr="00767D63">
        <w:rPr>
          <w:rFonts w:eastAsia="Times New Roman"/>
        </w:rPr>
        <w:t>0,06</w:t>
      </w:r>
      <w:r w:rsidRPr="00767D63">
        <w:rPr>
          <w:rFonts w:eastAsia="Times New Roman"/>
        </w:rPr>
        <w:t xml:space="preserve"> </w:t>
      </w:r>
      <w:r w:rsidR="00384B9E" w:rsidRPr="00767D63">
        <w:rPr>
          <w:rFonts w:eastAsia="Times New Roman"/>
        </w:rPr>
        <w:t>м3</w:t>
      </w:r>
      <w:r w:rsidRPr="00767D63">
        <w:rPr>
          <w:rFonts w:eastAsia="Times New Roman"/>
        </w:rPr>
        <w:t xml:space="preserve"> на 1 человека. </w:t>
      </w:r>
      <w:r w:rsidR="00C241F3" w:rsidRPr="00767D63">
        <w:rPr>
          <w:rFonts w:eastAsia="Times New Roman"/>
        </w:rPr>
        <w:t>В плановом периоде планируется сохранить показатель на достигнутом уровне.</w:t>
      </w:r>
    </w:p>
    <w:p w:rsidR="00755819" w:rsidRDefault="00755819" w:rsidP="008038E7">
      <w:pPr>
        <w:ind w:firstLine="567"/>
        <w:jc w:val="center"/>
        <w:rPr>
          <w:rFonts w:eastAsia="Times New Roman"/>
          <w:b/>
        </w:rPr>
      </w:pPr>
    </w:p>
    <w:p w:rsidR="009333DD" w:rsidRDefault="009333DD" w:rsidP="008038E7">
      <w:pPr>
        <w:ind w:firstLine="567"/>
        <w:jc w:val="center"/>
        <w:rPr>
          <w:rFonts w:eastAsia="Times New Roman"/>
          <w:b/>
        </w:rPr>
      </w:pPr>
    </w:p>
    <w:p w:rsidR="009333DD" w:rsidRPr="00767D63" w:rsidRDefault="009333DD" w:rsidP="008038E7">
      <w:pPr>
        <w:ind w:firstLine="567"/>
        <w:jc w:val="center"/>
        <w:rPr>
          <w:rFonts w:eastAsia="Times New Roman"/>
          <w:b/>
        </w:rPr>
      </w:pPr>
      <w:bookmarkStart w:id="2" w:name="_GoBack"/>
      <w:bookmarkEnd w:id="2"/>
    </w:p>
    <w:p w:rsidR="00755819" w:rsidRPr="00767D63" w:rsidRDefault="00755819" w:rsidP="008038E7">
      <w:pPr>
        <w:ind w:firstLine="567"/>
        <w:jc w:val="center"/>
        <w:rPr>
          <w:rFonts w:eastAsia="Times New Roman"/>
          <w:b/>
        </w:rPr>
      </w:pPr>
      <w:r w:rsidRPr="00767D63">
        <w:rPr>
          <w:rFonts w:eastAsia="Times New Roman"/>
          <w:b/>
        </w:rPr>
        <w:lastRenderedPageBreak/>
        <w:t xml:space="preserve">10. Результаты независимой </w:t>
      </w:r>
      <w:proofErr w:type="gramStart"/>
      <w:r w:rsidRPr="00767D63">
        <w:rPr>
          <w:rFonts w:eastAsia="Times New Roman"/>
          <w:b/>
        </w:rPr>
        <w:t>оценки качества условий оказания услуг</w:t>
      </w:r>
      <w:proofErr w:type="gramEnd"/>
      <w:r w:rsidRPr="00767D63">
        <w:rPr>
          <w:rFonts w:eastAsia="Times New Roman"/>
          <w:b/>
        </w:rPr>
        <w:t xml:space="preserve"> </w:t>
      </w:r>
    </w:p>
    <w:p w:rsidR="00755819" w:rsidRPr="00767D63" w:rsidRDefault="00755819" w:rsidP="008038E7">
      <w:pPr>
        <w:ind w:firstLine="567"/>
        <w:jc w:val="center"/>
        <w:rPr>
          <w:rFonts w:eastAsia="Times New Roman"/>
          <w:b/>
        </w:rPr>
      </w:pPr>
      <w:r w:rsidRPr="00767D63">
        <w:rPr>
          <w:rFonts w:eastAsia="Times New Roman"/>
          <w:b/>
        </w:rPr>
        <w:t xml:space="preserve">муниципальными организациями и иными организациями </w:t>
      </w:r>
    </w:p>
    <w:p w:rsidR="00755819" w:rsidRPr="00767D63" w:rsidRDefault="00755819" w:rsidP="008038E7">
      <w:pPr>
        <w:ind w:firstLine="567"/>
        <w:jc w:val="center"/>
        <w:rPr>
          <w:rFonts w:eastAsia="Times New Roman"/>
          <w:b/>
        </w:rPr>
      </w:pPr>
      <w:r w:rsidRPr="00767D63">
        <w:rPr>
          <w:rFonts w:eastAsia="Times New Roman"/>
          <w:b/>
        </w:rPr>
        <w:t>(за счет бюджетных ассигнований бюджетов муниципальных образований)</w:t>
      </w:r>
      <w:r w:rsidRPr="00767D63">
        <w:rPr>
          <w:rFonts w:eastAsia="Times New Roman"/>
          <w:b/>
        </w:rPr>
        <w:tab/>
      </w:r>
    </w:p>
    <w:p w:rsidR="00755819" w:rsidRPr="00767D63" w:rsidRDefault="00755819" w:rsidP="008038E7">
      <w:pPr>
        <w:ind w:firstLine="567"/>
        <w:jc w:val="both"/>
        <w:rPr>
          <w:rFonts w:eastAsia="Times New Roman"/>
          <w:b/>
        </w:rPr>
      </w:pPr>
      <w:r w:rsidRPr="00767D63">
        <w:rPr>
          <w:rFonts w:eastAsia="Times New Roman"/>
          <w:b/>
        </w:rPr>
        <w:tab/>
      </w:r>
      <w:r w:rsidRPr="00767D63">
        <w:rPr>
          <w:rFonts w:eastAsia="Times New Roman"/>
          <w:b/>
        </w:rPr>
        <w:tab/>
      </w:r>
    </w:p>
    <w:p w:rsidR="00B620DE" w:rsidRPr="00767D63" w:rsidRDefault="00B620DE" w:rsidP="008038E7">
      <w:pPr>
        <w:ind w:firstLine="567"/>
        <w:jc w:val="both"/>
        <w:rPr>
          <w:rFonts w:eastAsia="Times New Roman"/>
        </w:rPr>
      </w:pPr>
      <w:r w:rsidRPr="00767D63">
        <w:rPr>
          <w:rFonts w:eastAsia="Times New Roman"/>
        </w:rPr>
        <w:t>В 2020 году проводилась независимая оценка качества условий оказания услуг муниципальными организациями и иными организациями (за счет бюджетных ассигнований бюджетов муниципальных образований) в сфере образования, показатель достиг уровня в 86,58 баллов.</w:t>
      </w:r>
    </w:p>
    <w:p w:rsidR="00B620DE" w:rsidRPr="00767D63" w:rsidRDefault="00B620DE" w:rsidP="008038E7">
      <w:pPr>
        <w:ind w:firstLine="567"/>
        <w:jc w:val="both"/>
        <w:rPr>
          <w:rFonts w:eastAsia="Times New Roman"/>
        </w:rPr>
      </w:pPr>
      <w:r w:rsidRPr="00767D63">
        <w:rPr>
          <w:rFonts w:eastAsia="Times New Roman"/>
        </w:rPr>
        <w:t xml:space="preserve">Независимая оценка качества условий оказания услуг муниципальными организациями и иными организациями (за счет бюджетных ассигнований бюджетов муниципальных образований) в сфере культуры в 2020 году не проводилась. Каждая муниципальная организация проходит процедуру оценки раз в 3 года. В 2019 году показатель достиг значения в 89,57 баллов. </w:t>
      </w:r>
    </w:p>
    <w:p w:rsidR="00755819" w:rsidRPr="00767D63" w:rsidRDefault="00755819" w:rsidP="008038E7">
      <w:pPr>
        <w:ind w:firstLine="567"/>
        <w:jc w:val="both"/>
        <w:rPr>
          <w:rFonts w:eastAsia="Times New Roman"/>
        </w:rPr>
      </w:pPr>
      <w:r w:rsidRPr="00767D63">
        <w:rPr>
          <w:rFonts w:eastAsia="Times New Roman"/>
        </w:rPr>
        <w:t>В планируемом периоде будет организована работа по достижению значени</w:t>
      </w:r>
      <w:r w:rsidR="000250F8" w:rsidRPr="00767D63">
        <w:rPr>
          <w:rFonts w:eastAsia="Times New Roman"/>
        </w:rPr>
        <w:t>й</w:t>
      </w:r>
      <w:r w:rsidRPr="00767D63">
        <w:rPr>
          <w:rFonts w:eastAsia="Times New Roman"/>
        </w:rPr>
        <w:t xml:space="preserve"> показател</w:t>
      </w:r>
      <w:r w:rsidR="000250F8" w:rsidRPr="00767D63">
        <w:rPr>
          <w:rFonts w:eastAsia="Times New Roman"/>
        </w:rPr>
        <w:t>ей</w:t>
      </w:r>
      <w:r w:rsidRPr="00767D63">
        <w:rPr>
          <w:rFonts w:eastAsia="Times New Roman"/>
        </w:rPr>
        <w:t xml:space="preserve"> не ниже уровня 20</w:t>
      </w:r>
      <w:r w:rsidR="000250F8" w:rsidRPr="00767D63">
        <w:rPr>
          <w:rFonts w:eastAsia="Times New Roman"/>
        </w:rPr>
        <w:t>20</w:t>
      </w:r>
      <w:r w:rsidRPr="00767D63">
        <w:rPr>
          <w:rFonts w:eastAsia="Times New Roman"/>
        </w:rPr>
        <w:t xml:space="preserve"> года</w:t>
      </w:r>
      <w:r w:rsidR="00B620DE" w:rsidRPr="00767D63">
        <w:rPr>
          <w:rFonts w:eastAsia="Times New Roman"/>
        </w:rPr>
        <w:t xml:space="preserve"> в сфере образования и не ниже уровня 2019 года в сфере культуры</w:t>
      </w:r>
      <w:r w:rsidRPr="00767D63">
        <w:rPr>
          <w:rFonts w:eastAsia="Times New Roman"/>
        </w:rPr>
        <w:t>.</w:t>
      </w:r>
      <w:r w:rsidRPr="00767D63">
        <w:rPr>
          <w:rFonts w:eastAsia="Times New Roman"/>
        </w:rPr>
        <w:tab/>
      </w:r>
      <w:r w:rsidRPr="00767D63">
        <w:rPr>
          <w:rFonts w:eastAsia="Times New Roman"/>
        </w:rPr>
        <w:tab/>
      </w:r>
      <w:r w:rsidRPr="00767D63">
        <w:rPr>
          <w:rFonts w:eastAsia="Times New Roman"/>
        </w:rPr>
        <w:tab/>
      </w:r>
      <w:r w:rsidRPr="00767D63">
        <w:rPr>
          <w:rFonts w:eastAsia="Times New Roman"/>
        </w:rPr>
        <w:tab/>
      </w:r>
      <w:r w:rsidRPr="00767D63">
        <w:rPr>
          <w:rFonts w:eastAsia="Times New Roman"/>
        </w:rPr>
        <w:tab/>
      </w:r>
    </w:p>
    <w:sectPr w:rsidR="00755819" w:rsidRPr="00767D63" w:rsidSect="000F0951">
      <w:pgSz w:w="11906" w:h="16838"/>
      <w:pgMar w:top="567" w:right="737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E6" w:rsidRDefault="005C12E6" w:rsidP="000F0951">
      <w:r>
        <w:separator/>
      </w:r>
    </w:p>
  </w:endnote>
  <w:endnote w:type="continuationSeparator" w:id="0">
    <w:p w:rsidR="005C12E6" w:rsidRDefault="005C12E6" w:rsidP="000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E6" w:rsidRDefault="005C12E6" w:rsidP="000F0951">
      <w:r>
        <w:separator/>
      </w:r>
    </w:p>
  </w:footnote>
  <w:footnote w:type="continuationSeparator" w:id="0">
    <w:p w:rsidR="005C12E6" w:rsidRDefault="005C12E6" w:rsidP="000F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2E411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BE05A90"/>
    <w:multiLevelType w:val="hybridMultilevel"/>
    <w:tmpl w:val="0DD4C2CE"/>
    <w:lvl w:ilvl="0" w:tplc="C1D81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AF7AC0"/>
    <w:multiLevelType w:val="hybridMultilevel"/>
    <w:tmpl w:val="E73A59E4"/>
    <w:lvl w:ilvl="0" w:tplc="C1D81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D81327"/>
    <w:multiLevelType w:val="hybridMultilevel"/>
    <w:tmpl w:val="0A526D8A"/>
    <w:lvl w:ilvl="0" w:tplc="C1D81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360F7C"/>
    <w:multiLevelType w:val="hybridMultilevel"/>
    <w:tmpl w:val="6EECBE16"/>
    <w:lvl w:ilvl="0" w:tplc="C1D81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5"/>
    <w:rsid w:val="00000CFB"/>
    <w:rsid w:val="00001BD9"/>
    <w:rsid w:val="00002F8D"/>
    <w:rsid w:val="00006147"/>
    <w:rsid w:val="0001435E"/>
    <w:rsid w:val="00014BEA"/>
    <w:rsid w:val="00014C5D"/>
    <w:rsid w:val="0001505F"/>
    <w:rsid w:val="00023136"/>
    <w:rsid w:val="00023751"/>
    <w:rsid w:val="000241E8"/>
    <w:rsid w:val="0002460E"/>
    <w:rsid w:val="000250F8"/>
    <w:rsid w:val="00026BAE"/>
    <w:rsid w:val="00027761"/>
    <w:rsid w:val="00027EB6"/>
    <w:rsid w:val="00027EE9"/>
    <w:rsid w:val="00031FCA"/>
    <w:rsid w:val="000371B3"/>
    <w:rsid w:val="000402AE"/>
    <w:rsid w:val="00042451"/>
    <w:rsid w:val="0004265C"/>
    <w:rsid w:val="00045067"/>
    <w:rsid w:val="00047446"/>
    <w:rsid w:val="000570E0"/>
    <w:rsid w:val="0005774D"/>
    <w:rsid w:val="00061A1F"/>
    <w:rsid w:val="00064C53"/>
    <w:rsid w:val="00064F84"/>
    <w:rsid w:val="0007206E"/>
    <w:rsid w:val="00073D45"/>
    <w:rsid w:val="00076BF8"/>
    <w:rsid w:val="00081AA1"/>
    <w:rsid w:val="00081B7C"/>
    <w:rsid w:val="000830C9"/>
    <w:rsid w:val="00085667"/>
    <w:rsid w:val="000864A7"/>
    <w:rsid w:val="00086785"/>
    <w:rsid w:val="00087433"/>
    <w:rsid w:val="00087F0C"/>
    <w:rsid w:val="000900C6"/>
    <w:rsid w:val="0009477C"/>
    <w:rsid w:val="0009632C"/>
    <w:rsid w:val="00096F2F"/>
    <w:rsid w:val="000A1ABD"/>
    <w:rsid w:val="000A322F"/>
    <w:rsid w:val="000A4DFE"/>
    <w:rsid w:val="000A5581"/>
    <w:rsid w:val="000A573B"/>
    <w:rsid w:val="000B6FE9"/>
    <w:rsid w:val="000C147D"/>
    <w:rsid w:val="000C1DFF"/>
    <w:rsid w:val="000C462D"/>
    <w:rsid w:val="000C5CCF"/>
    <w:rsid w:val="000C6AAF"/>
    <w:rsid w:val="000C7F02"/>
    <w:rsid w:val="000D0754"/>
    <w:rsid w:val="000D390D"/>
    <w:rsid w:val="000D3A7F"/>
    <w:rsid w:val="000D4B86"/>
    <w:rsid w:val="000D4BAC"/>
    <w:rsid w:val="000E09B5"/>
    <w:rsid w:val="000E106A"/>
    <w:rsid w:val="000E2E61"/>
    <w:rsid w:val="000E3209"/>
    <w:rsid w:val="000E4327"/>
    <w:rsid w:val="000E6F14"/>
    <w:rsid w:val="000E6FF1"/>
    <w:rsid w:val="000E780E"/>
    <w:rsid w:val="000E7A3C"/>
    <w:rsid w:val="000F0951"/>
    <w:rsid w:val="000F0B80"/>
    <w:rsid w:val="000F3B24"/>
    <w:rsid w:val="000F4F46"/>
    <w:rsid w:val="000F5765"/>
    <w:rsid w:val="001003D0"/>
    <w:rsid w:val="00101148"/>
    <w:rsid w:val="00102FE6"/>
    <w:rsid w:val="00103214"/>
    <w:rsid w:val="00107194"/>
    <w:rsid w:val="00107D6A"/>
    <w:rsid w:val="001117EB"/>
    <w:rsid w:val="00112C12"/>
    <w:rsid w:val="00112DA5"/>
    <w:rsid w:val="00115792"/>
    <w:rsid w:val="001202BD"/>
    <w:rsid w:val="001202D7"/>
    <w:rsid w:val="00122416"/>
    <w:rsid w:val="00123961"/>
    <w:rsid w:val="00124E8D"/>
    <w:rsid w:val="001278A5"/>
    <w:rsid w:val="00131267"/>
    <w:rsid w:val="001323B1"/>
    <w:rsid w:val="00135947"/>
    <w:rsid w:val="00135E5B"/>
    <w:rsid w:val="0014405B"/>
    <w:rsid w:val="00144D29"/>
    <w:rsid w:val="001476DC"/>
    <w:rsid w:val="00152D14"/>
    <w:rsid w:val="001530B9"/>
    <w:rsid w:val="00153200"/>
    <w:rsid w:val="00156BDF"/>
    <w:rsid w:val="00164813"/>
    <w:rsid w:val="00166677"/>
    <w:rsid w:val="0016750F"/>
    <w:rsid w:val="00167515"/>
    <w:rsid w:val="001676FC"/>
    <w:rsid w:val="00167D5F"/>
    <w:rsid w:val="00172780"/>
    <w:rsid w:val="00173898"/>
    <w:rsid w:val="00176414"/>
    <w:rsid w:val="00176A87"/>
    <w:rsid w:val="001800C3"/>
    <w:rsid w:val="001820C1"/>
    <w:rsid w:val="00183A46"/>
    <w:rsid w:val="00185F46"/>
    <w:rsid w:val="00186491"/>
    <w:rsid w:val="001909ED"/>
    <w:rsid w:val="00191C0B"/>
    <w:rsid w:val="001943A6"/>
    <w:rsid w:val="001951FA"/>
    <w:rsid w:val="00195EF1"/>
    <w:rsid w:val="001A024A"/>
    <w:rsid w:val="001A087C"/>
    <w:rsid w:val="001A0C4B"/>
    <w:rsid w:val="001A246F"/>
    <w:rsid w:val="001A564E"/>
    <w:rsid w:val="001A7AE9"/>
    <w:rsid w:val="001B063A"/>
    <w:rsid w:val="001B349A"/>
    <w:rsid w:val="001B3A31"/>
    <w:rsid w:val="001B5BE6"/>
    <w:rsid w:val="001B6DF2"/>
    <w:rsid w:val="001B7090"/>
    <w:rsid w:val="001C13DA"/>
    <w:rsid w:val="001C1D24"/>
    <w:rsid w:val="001C35CE"/>
    <w:rsid w:val="001D15A6"/>
    <w:rsid w:val="001D25D2"/>
    <w:rsid w:val="001D7A0D"/>
    <w:rsid w:val="001E22DB"/>
    <w:rsid w:val="001E49F0"/>
    <w:rsid w:val="001E511D"/>
    <w:rsid w:val="001E545B"/>
    <w:rsid w:val="001E6AC4"/>
    <w:rsid w:val="001E77F8"/>
    <w:rsid w:val="001F013D"/>
    <w:rsid w:val="001F01EF"/>
    <w:rsid w:val="001F0CBC"/>
    <w:rsid w:val="001F2C09"/>
    <w:rsid w:val="001F64D8"/>
    <w:rsid w:val="001F7BB9"/>
    <w:rsid w:val="002005FC"/>
    <w:rsid w:val="00203198"/>
    <w:rsid w:val="002042AD"/>
    <w:rsid w:val="00205691"/>
    <w:rsid w:val="0020629C"/>
    <w:rsid w:val="00207166"/>
    <w:rsid w:val="00211883"/>
    <w:rsid w:val="002137BA"/>
    <w:rsid w:val="002145CF"/>
    <w:rsid w:val="002172A9"/>
    <w:rsid w:val="00217BBA"/>
    <w:rsid w:val="0022010A"/>
    <w:rsid w:val="00220DC9"/>
    <w:rsid w:val="0022153D"/>
    <w:rsid w:val="00221A3E"/>
    <w:rsid w:val="00221FBE"/>
    <w:rsid w:val="00223C69"/>
    <w:rsid w:val="00224646"/>
    <w:rsid w:val="0022733E"/>
    <w:rsid w:val="00227844"/>
    <w:rsid w:val="00233E81"/>
    <w:rsid w:val="00234865"/>
    <w:rsid w:val="00235645"/>
    <w:rsid w:val="00237949"/>
    <w:rsid w:val="00243145"/>
    <w:rsid w:val="002447E8"/>
    <w:rsid w:val="002477D1"/>
    <w:rsid w:val="00250E54"/>
    <w:rsid w:val="0025143C"/>
    <w:rsid w:val="00251587"/>
    <w:rsid w:val="0025181F"/>
    <w:rsid w:val="00251F03"/>
    <w:rsid w:val="00252B08"/>
    <w:rsid w:val="00253541"/>
    <w:rsid w:val="00253725"/>
    <w:rsid w:val="002544A7"/>
    <w:rsid w:val="00257B36"/>
    <w:rsid w:val="00262B7D"/>
    <w:rsid w:val="00262DFC"/>
    <w:rsid w:val="0026338E"/>
    <w:rsid w:val="0026623F"/>
    <w:rsid w:val="00266371"/>
    <w:rsid w:val="00267234"/>
    <w:rsid w:val="002674E6"/>
    <w:rsid w:val="00270410"/>
    <w:rsid w:val="00271278"/>
    <w:rsid w:val="00271DEE"/>
    <w:rsid w:val="00272C1C"/>
    <w:rsid w:val="00272D79"/>
    <w:rsid w:val="002740A4"/>
    <w:rsid w:val="00275227"/>
    <w:rsid w:val="00276976"/>
    <w:rsid w:val="00277B76"/>
    <w:rsid w:val="00280821"/>
    <w:rsid w:val="00280F19"/>
    <w:rsid w:val="00280FA4"/>
    <w:rsid w:val="00283DAE"/>
    <w:rsid w:val="00286577"/>
    <w:rsid w:val="00287F5B"/>
    <w:rsid w:val="00290064"/>
    <w:rsid w:val="00290DBA"/>
    <w:rsid w:val="00291887"/>
    <w:rsid w:val="00292A47"/>
    <w:rsid w:val="00293EEE"/>
    <w:rsid w:val="00295C99"/>
    <w:rsid w:val="002977B6"/>
    <w:rsid w:val="002A359C"/>
    <w:rsid w:val="002A403F"/>
    <w:rsid w:val="002A58F7"/>
    <w:rsid w:val="002A627A"/>
    <w:rsid w:val="002B0C37"/>
    <w:rsid w:val="002B140A"/>
    <w:rsid w:val="002B3C11"/>
    <w:rsid w:val="002B3D85"/>
    <w:rsid w:val="002B683A"/>
    <w:rsid w:val="002B7546"/>
    <w:rsid w:val="002C2DC4"/>
    <w:rsid w:val="002C48E1"/>
    <w:rsid w:val="002C4F9D"/>
    <w:rsid w:val="002C547A"/>
    <w:rsid w:val="002C5569"/>
    <w:rsid w:val="002C70A5"/>
    <w:rsid w:val="002D0642"/>
    <w:rsid w:val="002D268A"/>
    <w:rsid w:val="002D345E"/>
    <w:rsid w:val="002D4DC6"/>
    <w:rsid w:val="002D740A"/>
    <w:rsid w:val="002E00DB"/>
    <w:rsid w:val="002E10BA"/>
    <w:rsid w:val="002E6383"/>
    <w:rsid w:val="002E77E4"/>
    <w:rsid w:val="002F00EF"/>
    <w:rsid w:val="002F1D3E"/>
    <w:rsid w:val="002F1DC9"/>
    <w:rsid w:val="002F25E4"/>
    <w:rsid w:val="002F2974"/>
    <w:rsid w:val="002F4961"/>
    <w:rsid w:val="003013FB"/>
    <w:rsid w:val="0030472D"/>
    <w:rsid w:val="003063C1"/>
    <w:rsid w:val="00307232"/>
    <w:rsid w:val="00311342"/>
    <w:rsid w:val="00311CD0"/>
    <w:rsid w:val="0031219A"/>
    <w:rsid w:val="003153B4"/>
    <w:rsid w:val="00320592"/>
    <w:rsid w:val="00321C2C"/>
    <w:rsid w:val="00322C36"/>
    <w:rsid w:val="0032361A"/>
    <w:rsid w:val="003272FC"/>
    <w:rsid w:val="00332F5E"/>
    <w:rsid w:val="00333736"/>
    <w:rsid w:val="003359DA"/>
    <w:rsid w:val="00343238"/>
    <w:rsid w:val="00344441"/>
    <w:rsid w:val="00344FF2"/>
    <w:rsid w:val="0034600A"/>
    <w:rsid w:val="003460EB"/>
    <w:rsid w:val="003461BE"/>
    <w:rsid w:val="003465A9"/>
    <w:rsid w:val="00346917"/>
    <w:rsid w:val="0034763F"/>
    <w:rsid w:val="00347FA4"/>
    <w:rsid w:val="00350106"/>
    <w:rsid w:val="00356377"/>
    <w:rsid w:val="00357845"/>
    <w:rsid w:val="003618D8"/>
    <w:rsid w:val="00361CDD"/>
    <w:rsid w:val="00361F58"/>
    <w:rsid w:val="003633D8"/>
    <w:rsid w:val="0036376C"/>
    <w:rsid w:val="003647E8"/>
    <w:rsid w:val="003662E4"/>
    <w:rsid w:val="00367066"/>
    <w:rsid w:val="003673BA"/>
    <w:rsid w:val="00367E0D"/>
    <w:rsid w:val="0037066C"/>
    <w:rsid w:val="003744C7"/>
    <w:rsid w:val="00377AE4"/>
    <w:rsid w:val="003812AD"/>
    <w:rsid w:val="00384B9E"/>
    <w:rsid w:val="00386096"/>
    <w:rsid w:val="003864E6"/>
    <w:rsid w:val="00387EF3"/>
    <w:rsid w:val="003900E5"/>
    <w:rsid w:val="003908C7"/>
    <w:rsid w:val="0039094E"/>
    <w:rsid w:val="00390C27"/>
    <w:rsid w:val="00392600"/>
    <w:rsid w:val="0039473D"/>
    <w:rsid w:val="00394E7C"/>
    <w:rsid w:val="0039517E"/>
    <w:rsid w:val="003962FD"/>
    <w:rsid w:val="00396EBD"/>
    <w:rsid w:val="003A066B"/>
    <w:rsid w:val="003A0B77"/>
    <w:rsid w:val="003A1DBD"/>
    <w:rsid w:val="003A1F21"/>
    <w:rsid w:val="003A529B"/>
    <w:rsid w:val="003A568D"/>
    <w:rsid w:val="003B05EB"/>
    <w:rsid w:val="003B0624"/>
    <w:rsid w:val="003B1B32"/>
    <w:rsid w:val="003B400A"/>
    <w:rsid w:val="003B4157"/>
    <w:rsid w:val="003B46F4"/>
    <w:rsid w:val="003B7585"/>
    <w:rsid w:val="003C065E"/>
    <w:rsid w:val="003C0BBA"/>
    <w:rsid w:val="003C1BB6"/>
    <w:rsid w:val="003C2667"/>
    <w:rsid w:val="003C33FD"/>
    <w:rsid w:val="003C3D60"/>
    <w:rsid w:val="003C40AE"/>
    <w:rsid w:val="003C48EB"/>
    <w:rsid w:val="003C7B58"/>
    <w:rsid w:val="003D0DF2"/>
    <w:rsid w:val="003D1BB8"/>
    <w:rsid w:val="003D2C6A"/>
    <w:rsid w:val="003D2CAC"/>
    <w:rsid w:val="003D2EAC"/>
    <w:rsid w:val="003D3DA3"/>
    <w:rsid w:val="003D3EAB"/>
    <w:rsid w:val="003D6937"/>
    <w:rsid w:val="003E25E5"/>
    <w:rsid w:val="003E28CB"/>
    <w:rsid w:val="003E2F89"/>
    <w:rsid w:val="003E6148"/>
    <w:rsid w:val="003E7177"/>
    <w:rsid w:val="003E79E4"/>
    <w:rsid w:val="003F0AF7"/>
    <w:rsid w:val="003F2192"/>
    <w:rsid w:val="003F3463"/>
    <w:rsid w:val="003F4C5B"/>
    <w:rsid w:val="003F4FF7"/>
    <w:rsid w:val="003F5641"/>
    <w:rsid w:val="003F5971"/>
    <w:rsid w:val="003F6114"/>
    <w:rsid w:val="00400D14"/>
    <w:rsid w:val="00401ADB"/>
    <w:rsid w:val="004033CF"/>
    <w:rsid w:val="004068D0"/>
    <w:rsid w:val="0040696A"/>
    <w:rsid w:val="004124AB"/>
    <w:rsid w:val="00412D06"/>
    <w:rsid w:val="00412DC2"/>
    <w:rsid w:val="0041375F"/>
    <w:rsid w:val="00413FB2"/>
    <w:rsid w:val="00414907"/>
    <w:rsid w:val="004149AD"/>
    <w:rsid w:val="00414A0E"/>
    <w:rsid w:val="00421736"/>
    <w:rsid w:val="00423264"/>
    <w:rsid w:val="004233B1"/>
    <w:rsid w:val="00425246"/>
    <w:rsid w:val="00427136"/>
    <w:rsid w:val="004279F1"/>
    <w:rsid w:val="004309D3"/>
    <w:rsid w:val="00430F0C"/>
    <w:rsid w:val="00432DFC"/>
    <w:rsid w:val="0043302A"/>
    <w:rsid w:val="00433904"/>
    <w:rsid w:val="0043619C"/>
    <w:rsid w:val="004368B4"/>
    <w:rsid w:val="004412E1"/>
    <w:rsid w:val="004421FA"/>
    <w:rsid w:val="0044245D"/>
    <w:rsid w:val="00443B5D"/>
    <w:rsid w:val="00443F5B"/>
    <w:rsid w:val="004463EF"/>
    <w:rsid w:val="00447677"/>
    <w:rsid w:val="004531BF"/>
    <w:rsid w:val="004537FC"/>
    <w:rsid w:val="004557BB"/>
    <w:rsid w:val="00461956"/>
    <w:rsid w:val="0046263D"/>
    <w:rsid w:val="00470851"/>
    <w:rsid w:val="00471D19"/>
    <w:rsid w:val="00471ECE"/>
    <w:rsid w:val="00472266"/>
    <w:rsid w:val="00474C6A"/>
    <w:rsid w:val="00475FB4"/>
    <w:rsid w:val="00476008"/>
    <w:rsid w:val="0048240C"/>
    <w:rsid w:val="00491C28"/>
    <w:rsid w:val="00491CC9"/>
    <w:rsid w:val="00492726"/>
    <w:rsid w:val="00492E1D"/>
    <w:rsid w:val="00494E05"/>
    <w:rsid w:val="00495C98"/>
    <w:rsid w:val="00496EE9"/>
    <w:rsid w:val="00497CD5"/>
    <w:rsid w:val="004A0E78"/>
    <w:rsid w:val="004A1026"/>
    <w:rsid w:val="004A14A5"/>
    <w:rsid w:val="004A2F53"/>
    <w:rsid w:val="004A340F"/>
    <w:rsid w:val="004A3814"/>
    <w:rsid w:val="004A3AB2"/>
    <w:rsid w:val="004A5521"/>
    <w:rsid w:val="004A5F0C"/>
    <w:rsid w:val="004A7B3D"/>
    <w:rsid w:val="004B000A"/>
    <w:rsid w:val="004B1584"/>
    <w:rsid w:val="004B1BE9"/>
    <w:rsid w:val="004B2F29"/>
    <w:rsid w:val="004B3708"/>
    <w:rsid w:val="004B592E"/>
    <w:rsid w:val="004B6C56"/>
    <w:rsid w:val="004C04B6"/>
    <w:rsid w:val="004C1522"/>
    <w:rsid w:val="004C15EC"/>
    <w:rsid w:val="004C21D4"/>
    <w:rsid w:val="004C3C40"/>
    <w:rsid w:val="004C5DC1"/>
    <w:rsid w:val="004C5E88"/>
    <w:rsid w:val="004C6367"/>
    <w:rsid w:val="004C63A5"/>
    <w:rsid w:val="004D0F26"/>
    <w:rsid w:val="004D0F77"/>
    <w:rsid w:val="004D10D8"/>
    <w:rsid w:val="004D13BD"/>
    <w:rsid w:val="004D1C45"/>
    <w:rsid w:val="004D21EA"/>
    <w:rsid w:val="004E2E38"/>
    <w:rsid w:val="004E451C"/>
    <w:rsid w:val="004E628F"/>
    <w:rsid w:val="004E6421"/>
    <w:rsid w:val="004E6622"/>
    <w:rsid w:val="004E6954"/>
    <w:rsid w:val="004F0EA3"/>
    <w:rsid w:val="004F30CF"/>
    <w:rsid w:val="004F670C"/>
    <w:rsid w:val="004F6C90"/>
    <w:rsid w:val="004F74EA"/>
    <w:rsid w:val="0050047E"/>
    <w:rsid w:val="005019C3"/>
    <w:rsid w:val="00502EB6"/>
    <w:rsid w:val="00503AB9"/>
    <w:rsid w:val="005052FB"/>
    <w:rsid w:val="0051235A"/>
    <w:rsid w:val="0051235C"/>
    <w:rsid w:val="00512A48"/>
    <w:rsid w:val="00516016"/>
    <w:rsid w:val="00517711"/>
    <w:rsid w:val="005210F7"/>
    <w:rsid w:val="0052121A"/>
    <w:rsid w:val="00522E74"/>
    <w:rsid w:val="00525AE0"/>
    <w:rsid w:val="00525DF4"/>
    <w:rsid w:val="0052686C"/>
    <w:rsid w:val="00532288"/>
    <w:rsid w:val="00532404"/>
    <w:rsid w:val="00533B85"/>
    <w:rsid w:val="005345FF"/>
    <w:rsid w:val="00535C58"/>
    <w:rsid w:val="00536B25"/>
    <w:rsid w:val="00537CDC"/>
    <w:rsid w:val="0054103B"/>
    <w:rsid w:val="005410DF"/>
    <w:rsid w:val="005422DF"/>
    <w:rsid w:val="005451B1"/>
    <w:rsid w:val="00545294"/>
    <w:rsid w:val="0055465B"/>
    <w:rsid w:val="00554A4F"/>
    <w:rsid w:val="00555172"/>
    <w:rsid w:val="0056121A"/>
    <w:rsid w:val="00561550"/>
    <w:rsid w:val="005630F9"/>
    <w:rsid w:val="005664A3"/>
    <w:rsid w:val="00570A31"/>
    <w:rsid w:val="005724D9"/>
    <w:rsid w:val="005729C5"/>
    <w:rsid w:val="00576913"/>
    <w:rsid w:val="00576F5A"/>
    <w:rsid w:val="00577CB8"/>
    <w:rsid w:val="0058186C"/>
    <w:rsid w:val="005838B5"/>
    <w:rsid w:val="00584F38"/>
    <w:rsid w:val="005925BD"/>
    <w:rsid w:val="00592766"/>
    <w:rsid w:val="005961EC"/>
    <w:rsid w:val="00597758"/>
    <w:rsid w:val="005A1ECE"/>
    <w:rsid w:val="005A4C62"/>
    <w:rsid w:val="005A63FC"/>
    <w:rsid w:val="005B0728"/>
    <w:rsid w:val="005B12E1"/>
    <w:rsid w:val="005B14F3"/>
    <w:rsid w:val="005B1A53"/>
    <w:rsid w:val="005B2D1D"/>
    <w:rsid w:val="005B4150"/>
    <w:rsid w:val="005B44AF"/>
    <w:rsid w:val="005B4787"/>
    <w:rsid w:val="005B54C1"/>
    <w:rsid w:val="005B5E94"/>
    <w:rsid w:val="005C12E6"/>
    <w:rsid w:val="005C221F"/>
    <w:rsid w:val="005C4BA7"/>
    <w:rsid w:val="005D0238"/>
    <w:rsid w:val="005D1326"/>
    <w:rsid w:val="005D5EBA"/>
    <w:rsid w:val="005D635D"/>
    <w:rsid w:val="005D7E65"/>
    <w:rsid w:val="005E02DA"/>
    <w:rsid w:val="005E1757"/>
    <w:rsid w:val="005E26AB"/>
    <w:rsid w:val="005E2BE7"/>
    <w:rsid w:val="005E3E2A"/>
    <w:rsid w:val="005E5FD5"/>
    <w:rsid w:val="005E7439"/>
    <w:rsid w:val="005F1314"/>
    <w:rsid w:val="005F2D19"/>
    <w:rsid w:val="005F3387"/>
    <w:rsid w:val="005F3DE8"/>
    <w:rsid w:val="005F5144"/>
    <w:rsid w:val="005F51C7"/>
    <w:rsid w:val="005F5FE9"/>
    <w:rsid w:val="005F6D5A"/>
    <w:rsid w:val="005F7BB9"/>
    <w:rsid w:val="00600F9F"/>
    <w:rsid w:val="00601EC9"/>
    <w:rsid w:val="00602962"/>
    <w:rsid w:val="00602CE4"/>
    <w:rsid w:val="00605D7C"/>
    <w:rsid w:val="0060709F"/>
    <w:rsid w:val="00611190"/>
    <w:rsid w:val="00611ECF"/>
    <w:rsid w:val="00612ED9"/>
    <w:rsid w:val="0062006C"/>
    <w:rsid w:val="00622D82"/>
    <w:rsid w:val="00622D8C"/>
    <w:rsid w:val="0062394D"/>
    <w:rsid w:val="00625D03"/>
    <w:rsid w:val="006276F0"/>
    <w:rsid w:val="00627F1B"/>
    <w:rsid w:val="00630056"/>
    <w:rsid w:val="006306B9"/>
    <w:rsid w:val="00632482"/>
    <w:rsid w:val="006326AB"/>
    <w:rsid w:val="00635F48"/>
    <w:rsid w:val="0063643D"/>
    <w:rsid w:val="0063718A"/>
    <w:rsid w:val="0064032D"/>
    <w:rsid w:val="00642787"/>
    <w:rsid w:val="0064319B"/>
    <w:rsid w:val="00653C77"/>
    <w:rsid w:val="00654E5F"/>
    <w:rsid w:val="0065580A"/>
    <w:rsid w:val="0065648E"/>
    <w:rsid w:val="006566DE"/>
    <w:rsid w:val="00656891"/>
    <w:rsid w:val="0065715C"/>
    <w:rsid w:val="00657F6D"/>
    <w:rsid w:val="006619D1"/>
    <w:rsid w:val="00666CA8"/>
    <w:rsid w:val="006735D1"/>
    <w:rsid w:val="006753D0"/>
    <w:rsid w:val="0067575F"/>
    <w:rsid w:val="00675A0B"/>
    <w:rsid w:val="00676700"/>
    <w:rsid w:val="00676716"/>
    <w:rsid w:val="00677297"/>
    <w:rsid w:val="00677B31"/>
    <w:rsid w:val="006800A9"/>
    <w:rsid w:val="00682E81"/>
    <w:rsid w:val="006839C9"/>
    <w:rsid w:val="00684E2F"/>
    <w:rsid w:val="00684F80"/>
    <w:rsid w:val="00693058"/>
    <w:rsid w:val="00693D25"/>
    <w:rsid w:val="006959C7"/>
    <w:rsid w:val="00695E10"/>
    <w:rsid w:val="00697CF7"/>
    <w:rsid w:val="006A1223"/>
    <w:rsid w:val="006A1AA0"/>
    <w:rsid w:val="006A2BE5"/>
    <w:rsid w:val="006A7BFA"/>
    <w:rsid w:val="006B046A"/>
    <w:rsid w:val="006B2443"/>
    <w:rsid w:val="006B33F2"/>
    <w:rsid w:val="006B41DE"/>
    <w:rsid w:val="006B4FD8"/>
    <w:rsid w:val="006B5030"/>
    <w:rsid w:val="006B5A8D"/>
    <w:rsid w:val="006B710B"/>
    <w:rsid w:val="006B7EC2"/>
    <w:rsid w:val="006C3287"/>
    <w:rsid w:val="006C3A2B"/>
    <w:rsid w:val="006C3D18"/>
    <w:rsid w:val="006C45CA"/>
    <w:rsid w:val="006C5286"/>
    <w:rsid w:val="006C593A"/>
    <w:rsid w:val="006C5FBE"/>
    <w:rsid w:val="006C63D7"/>
    <w:rsid w:val="006C6CDD"/>
    <w:rsid w:val="006C7049"/>
    <w:rsid w:val="006D1C7A"/>
    <w:rsid w:val="006D513C"/>
    <w:rsid w:val="006D68A7"/>
    <w:rsid w:val="006E0E0E"/>
    <w:rsid w:val="006E0E3B"/>
    <w:rsid w:val="006E56F0"/>
    <w:rsid w:val="006E6D73"/>
    <w:rsid w:val="006E714A"/>
    <w:rsid w:val="006F151D"/>
    <w:rsid w:val="006F1746"/>
    <w:rsid w:val="006F18C8"/>
    <w:rsid w:val="006F4E1A"/>
    <w:rsid w:val="006F5630"/>
    <w:rsid w:val="006F7117"/>
    <w:rsid w:val="00700757"/>
    <w:rsid w:val="00702F05"/>
    <w:rsid w:val="00704E0A"/>
    <w:rsid w:val="00706894"/>
    <w:rsid w:val="00706998"/>
    <w:rsid w:val="00706AAA"/>
    <w:rsid w:val="00706E9D"/>
    <w:rsid w:val="00712644"/>
    <w:rsid w:val="007131E1"/>
    <w:rsid w:val="00713A12"/>
    <w:rsid w:val="0071423D"/>
    <w:rsid w:val="00714810"/>
    <w:rsid w:val="007160BA"/>
    <w:rsid w:val="00717BE9"/>
    <w:rsid w:val="00723449"/>
    <w:rsid w:val="00726E5E"/>
    <w:rsid w:val="00727800"/>
    <w:rsid w:val="00727DCF"/>
    <w:rsid w:val="00730997"/>
    <w:rsid w:val="0073303B"/>
    <w:rsid w:val="00734F04"/>
    <w:rsid w:val="0073536E"/>
    <w:rsid w:val="00735BED"/>
    <w:rsid w:val="0073702C"/>
    <w:rsid w:val="00737F82"/>
    <w:rsid w:val="00740011"/>
    <w:rsid w:val="0074020D"/>
    <w:rsid w:val="00741523"/>
    <w:rsid w:val="00741BAE"/>
    <w:rsid w:val="007442E4"/>
    <w:rsid w:val="00744AD3"/>
    <w:rsid w:val="00747663"/>
    <w:rsid w:val="00752554"/>
    <w:rsid w:val="0075278D"/>
    <w:rsid w:val="00753D29"/>
    <w:rsid w:val="00755819"/>
    <w:rsid w:val="00761662"/>
    <w:rsid w:val="00761A5C"/>
    <w:rsid w:val="0076265E"/>
    <w:rsid w:val="00767049"/>
    <w:rsid w:val="00767D63"/>
    <w:rsid w:val="00770461"/>
    <w:rsid w:val="00770CFE"/>
    <w:rsid w:val="00773A42"/>
    <w:rsid w:val="0077412D"/>
    <w:rsid w:val="007755D7"/>
    <w:rsid w:val="007772EB"/>
    <w:rsid w:val="00780122"/>
    <w:rsid w:val="007817C3"/>
    <w:rsid w:val="00781E89"/>
    <w:rsid w:val="007828C1"/>
    <w:rsid w:val="00786848"/>
    <w:rsid w:val="00790A00"/>
    <w:rsid w:val="007913EE"/>
    <w:rsid w:val="0079307A"/>
    <w:rsid w:val="007939C6"/>
    <w:rsid w:val="0079436C"/>
    <w:rsid w:val="00794A73"/>
    <w:rsid w:val="007958A3"/>
    <w:rsid w:val="0079684D"/>
    <w:rsid w:val="007A0C7C"/>
    <w:rsid w:val="007A5A91"/>
    <w:rsid w:val="007B0D45"/>
    <w:rsid w:val="007B2AE4"/>
    <w:rsid w:val="007B310C"/>
    <w:rsid w:val="007B4054"/>
    <w:rsid w:val="007B5460"/>
    <w:rsid w:val="007B6F58"/>
    <w:rsid w:val="007C0EE8"/>
    <w:rsid w:val="007C4556"/>
    <w:rsid w:val="007C7FFA"/>
    <w:rsid w:val="007D0D53"/>
    <w:rsid w:val="007D1056"/>
    <w:rsid w:val="007D152E"/>
    <w:rsid w:val="007D1CAB"/>
    <w:rsid w:val="007D77AF"/>
    <w:rsid w:val="007E0503"/>
    <w:rsid w:val="007E15D2"/>
    <w:rsid w:val="007E2DD7"/>
    <w:rsid w:val="007E57E0"/>
    <w:rsid w:val="007E6B23"/>
    <w:rsid w:val="007E73F3"/>
    <w:rsid w:val="007F106C"/>
    <w:rsid w:val="007F1B00"/>
    <w:rsid w:val="007F4AA2"/>
    <w:rsid w:val="007F7496"/>
    <w:rsid w:val="008007AC"/>
    <w:rsid w:val="00801746"/>
    <w:rsid w:val="008038E7"/>
    <w:rsid w:val="00803B98"/>
    <w:rsid w:val="00804C55"/>
    <w:rsid w:val="00804ECC"/>
    <w:rsid w:val="008058A2"/>
    <w:rsid w:val="0080626E"/>
    <w:rsid w:val="00807477"/>
    <w:rsid w:val="00810E7C"/>
    <w:rsid w:val="008118EA"/>
    <w:rsid w:val="00812226"/>
    <w:rsid w:val="00814490"/>
    <w:rsid w:val="00814793"/>
    <w:rsid w:val="0081501C"/>
    <w:rsid w:val="00816653"/>
    <w:rsid w:val="00817D1B"/>
    <w:rsid w:val="008201A8"/>
    <w:rsid w:val="00822983"/>
    <w:rsid w:val="00822C35"/>
    <w:rsid w:val="00824EF4"/>
    <w:rsid w:val="00825673"/>
    <w:rsid w:val="00830615"/>
    <w:rsid w:val="008337D2"/>
    <w:rsid w:val="00834109"/>
    <w:rsid w:val="00835B83"/>
    <w:rsid w:val="008374DC"/>
    <w:rsid w:val="00840299"/>
    <w:rsid w:val="00841C50"/>
    <w:rsid w:val="00844E75"/>
    <w:rsid w:val="008468BA"/>
    <w:rsid w:val="00854E5E"/>
    <w:rsid w:val="00855DC3"/>
    <w:rsid w:val="00855DCD"/>
    <w:rsid w:val="00856CE5"/>
    <w:rsid w:val="0085734B"/>
    <w:rsid w:val="00867080"/>
    <w:rsid w:val="00870E8F"/>
    <w:rsid w:val="00871AE3"/>
    <w:rsid w:val="008735BE"/>
    <w:rsid w:val="00874704"/>
    <w:rsid w:val="0087538E"/>
    <w:rsid w:val="008767BC"/>
    <w:rsid w:val="0088069F"/>
    <w:rsid w:val="0088442D"/>
    <w:rsid w:val="00884CC1"/>
    <w:rsid w:val="0088547E"/>
    <w:rsid w:val="00886444"/>
    <w:rsid w:val="00886735"/>
    <w:rsid w:val="00891CF3"/>
    <w:rsid w:val="008950AE"/>
    <w:rsid w:val="00895BDE"/>
    <w:rsid w:val="00895E92"/>
    <w:rsid w:val="008A3767"/>
    <w:rsid w:val="008A46AF"/>
    <w:rsid w:val="008A4D32"/>
    <w:rsid w:val="008A6B54"/>
    <w:rsid w:val="008A6FC5"/>
    <w:rsid w:val="008A791F"/>
    <w:rsid w:val="008A7C0B"/>
    <w:rsid w:val="008A7ED2"/>
    <w:rsid w:val="008B09EB"/>
    <w:rsid w:val="008B20D3"/>
    <w:rsid w:val="008B2190"/>
    <w:rsid w:val="008B2AEA"/>
    <w:rsid w:val="008B484C"/>
    <w:rsid w:val="008B654B"/>
    <w:rsid w:val="008B7544"/>
    <w:rsid w:val="008C1ED5"/>
    <w:rsid w:val="008C2E5D"/>
    <w:rsid w:val="008C4176"/>
    <w:rsid w:val="008C4587"/>
    <w:rsid w:val="008C628F"/>
    <w:rsid w:val="008C6349"/>
    <w:rsid w:val="008C6E1D"/>
    <w:rsid w:val="008D1419"/>
    <w:rsid w:val="008D7D18"/>
    <w:rsid w:val="008E01A4"/>
    <w:rsid w:val="008E3219"/>
    <w:rsid w:val="008E3FFF"/>
    <w:rsid w:val="008E519E"/>
    <w:rsid w:val="008E74BB"/>
    <w:rsid w:val="0090029D"/>
    <w:rsid w:val="00901EFC"/>
    <w:rsid w:val="00903F29"/>
    <w:rsid w:val="00904CFA"/>
    <w:rsid w:val="00905631"/>
    <w:rsid w:val="00905976"/>
    <w:rsid w:val="009076B6"/>
    <w:rsid w:val="009111AE"/>
    <w:rsid w:val="00913AB0"/>
    <w:rsid w:val="009201F7"/>
    <w:rsid w:val="009204C4"/>
    <w:rsid w:val="00924462"/>
    <w:rsid w:val="009264B1"/>
    <w:rsid w:val="00930562"/>
    <w:rsid w:val="00930830"/>
    <w:rsid w:val="009333DD"/>
    <w:rsid w:val="00936580"/>
    <w:rsid w:val="00940F23"/>
    <w:rsid w:val="00940F76"/>
    <w:rsid w:val="0094170F"/>
    <w:rsid w:val="00941E21"/>
    <w:rsid w:val="00942224"/>
    <w:rsid w:val="00946652"/>
    <w:rsid w:val="00950B4A"/>
    <w:rsid w:val="009514B7"/>
    <w:rsid w:val="00951656"/>
    <w:rsid w:val="0095304C"/>
    <w:rsid w:val="00953996"/>
    <w:rsid w:val="00953BDF"/>
    <w:rsid w:val="00955141"/>
    <w:rsid w:val="009573D3"/>
    <w:rsid w:val="0096096D"/>
    <w:rsid w:val="00961D69"/>
    <w:rsid w:val="009635D8"/>
    <w:rsid w:val="009644D4"/>
    <w:rsid w:val="00964748"/>
    <w:rsid w:val="00966B82"/>
    <w:rsid w:val="00967A51"/>
    <w:rsid w:val="0097396A"/>
    <w:rsid w:val="00976763"/>
    <w:rsid w:val="0098069E"/>
    <w:rsid w:val="00981E19"/>
    <w:rsid w:val="009864E2"/>
    <w:rsid w:val="0099391E"/>
    <w:rsid w:val="0099698E"/>
    <w:rsid w:val="009A2900"/>
    <w:rsid w:val="009A37E2"/>
    <w:rsid w:val="009A418B"/>
    <w:rsid w:val="009A6B14"/>
    <w:rsid w:val="009A79B3"/>
    <w:rsid w:val="009B0006"/>
    <w:rsid w:val="009B268E"/>
    <w:rsid w:val="009B2E7D"/>
    <w:rsid w:val="009B3204"/>
    <w:rsid w:val="009B7CD5"/>
    <w:rsid w:val="009C2121"/>
    <w:rsid w:val="009C4C2B"/>
    <w:rsid w:val="009C4E2F"/>
    <w:rsid w:val="009C5B32"/>
    <w:rsid w:val="009C7217"/>
    <w:rsid w:val="009D0BA2"/>
    <w:rsid w:val="009D420C"/>
    <w:rsid w:val="009D602F"/>
    <w:rsid w:val="009D654D"/>
    <w:rsid w:val="009D6BCA"/>
    <w:rsid w:val="009D6DAE"/>
    <w:rsid w:val="009E0BDE"/>
    <w:rsid w:val="009E25AA"/>
    <w:rsid w:val="009E6558"/>
    <w:rsid w:val="009F00D3"/>
    <w:rsid w:val="009F502F"/>
    <w:rsid w:val="009F53A0"/>
    <w:rsid w:val="009F5A46"/>
    <w:rsid w:val="009F6730"/>
    <w:rsid w:val="009F6D82"/>
    <w:rsid w:val="00A04105"/>
    <w:rsid w:val="00A041E4"/>
    <w:rsid w:val="00A04A45"/>
    <w:rsid w:val="00A04B9F"/>
    <w:rsid w:val="00A10D66"/>
    <w:rsid w:val="00A11C3F"/>
    <w:rsid w:val="00A126B0"/>
    <w:rsid w:val="00A12CC6"/>
    <w:rsid w:val="00A14325"/>
    <w:rsid w:val="00A1534D"/>
    <w:rsid w:val="00A23D74"/>
    <w:rsid w:val="00A24036"/>
    <w:rsid w:val="00A2510A"/>
    <w:rsid w:val="00A25F52"/>
    <w:rsid w:val="00A268A0"/>
    <w:rsid w:val="00A30A82"/>
    <w:rsid w:val="00A30CEA"/>
    <w:rsid w:val="00A31388"/>
    <w:rsid w:val="00A3145B"/>
    <w:rsid w:val="00A31956"/>
    <w:rsid w:val="00A34199"/>
    <w:rsid w:val="00A356B7"/>
    <w:rsid w:val="00A36FCC"/>
    <w:rsid w:val="00A37B30"/>
    <w:rsid w:val="00A40E16"/>
    <w:rsid w:val="00A41D1A"/>
    <w:rsid w:val="00A41D8E"/>
    <w:rsid w:val="00A42693"/>
    <w:rsid w:val="00A42D5E"/>
    <w:rsid w:val="00A42FA9"/>
    <w:rsid w:val="00A45AD8"/>
    <w:rsid w:val="00A51623"/>
    <w:rsid w:val="00A528F8"/>
    <w:rsid w:val="00A54EAC"/>
    <w:rsid w:val="00A60159"/>
    <w:rsid w:val="00A60660"/>
    <w:rsid w:val="00A60F3A"/>
    <w:rsid w:val="00A62066"/>
    <w:rsid w:val="00A63B3B"/>
    <w:rsid w:val="00A647AC"/>
    <w:rsid w:val="00A64EDA"/>
    <w:rsid w:val="00A66413"/>
    <w:rsid w:val="00A70973"/>
    <w:rsid w:val="00A74316"/>
    <w:rsid w:val="00A7537F"/>
    <w:rsid w:val="00A77359"/>
    <w:rsid w:val="00A80A6B"/>
    <w:rsid w:val="00A8177C"/>
    <w:rsid w:val="00A817E2"/>
    <w:rsid w:val="00A834AA"/>
    <w:rsid w:val="00A83B97"/>
    <w:rsid w:val="00A8538A"/>
    <w:rsid w:val="00A86B9B"/>
    <w:rsid w:val="00A86CC8"/>
    <w:rsid w:val="00A87DCC"/>
    <w:rsid w:val="00A908B8"/>
    <w:rsid w:val="00A92EC8"/>
    <w:rsid w:val="00A930CE"/>
    <w:rsid w:val="00A95318"/>
    <w:rsid w:val="00A956C2"/>
    <w:rsid w:val="00A96521"/>
    <w:rsid w:val="00A97A65"/>
    <w:rsid w:val="00AA15A8"/>
    <w:rsid w:val="00AA3CC3"/>
    <w:rsid w:val="00AA453C"/>
    <w:rsid w:val="00AA55E7"/>
    <w:rsid w:val="00AA7474"/>
    <w:rsid w:val="00AA7BB1"/>
    <w:rsid w:val="00AB0ABD"/>
    <w:rsid w:val="00AB1F30"/>
    <w:rsid w:val="00AB2537"/>
    <w:rsid w:val="00AB2BF8"/>
    <w:rsid w:val="00AC072C"/>
    <w:rsid w:val="00AC4608"/>
    <w:rsid w:val="00AC6E07"/>
    <w:rsid w:val="00AD1589"/>
    <w:rsid w:val="00AD3C53"/>
    <w:rsid w:val="00AD6CC9"/>
    <w:rsid w:val="00AE42D6"/>
    <w:rsid w:val="00AE50DE"/>
    <w:rsid w:val="00AF07EA"/>
    <w:rsid w:val="00AF089F"/>
    <w:rsid w:val="00AF0CD5"/>
    <w:rsid w:val="00AF3ED8"/>
    <w:rsid w:val="00AF4A2D"/>
    <w:rsid w:val="00AF55FD"/>
    <w:rsid w:val="00AF5AD3"/>
    <w:rsid w:val="00AF76B1"/>
    <w:rsid w:val="00AF7E80"/>
    <w:rsid w:val="00B01588"/>
    <w:rsid w:val="00B02B1E"/>
    <w:rsid w:val="00B02BF3"/>
    <w:rsid w:val="00B0318F"/>
    <w:rsid w:val="00B034C5"/>
    <w:rsid w:val="00B04627"/>
    <w:rsid w:val="00B0621E"/>
    <w:rsid w:val="00B06B26"/>
    <w:rsid w:val="00B076A5"/>
    <w:rsid w:val="00B07CE8"/>
    <w:rsid w:val="00B11CB5"/>
    <w:rsid w:val="00B12170"/>
    <w:rsid w:val="00B16E05"/>
    <w:rsid w:val="00B205EF"/>
    <w:rsid w:val="00B23388"/>
    <w:rsid w:val="00B24F9D"/>
    <w:rsid w:val="00B256E8"/>
    <w:rsid w:val="00B26063"/>
    <w:rsid w:val="00B3104E"/>
    <w:rsid w:val="00B3115D"/>
    <w:rsid w:val="00B32805"/>
    <w:rsid w:val="00B338D5"/>
    <w:rsid w:val="00B35069"/>
    <w:rsid w:val="00B3727C"/>
    <w:rsid w:val="00B41598"/>
    <w:rsid w:val="00B43D9A"/>
    <w:rsid w:val="00B43E08"/>
    <w:rsid w:val="00B44194"/>
    <w:rsid w:val="00B454FA"/>
    <w:rsid w:val="00B4572D"/>
    <w:rsid w:val="00B46267"/>
    <w:rsid w:val="00B47E05"/>
    <w:rsid w:val="00B47F92"/>
    <w:rsid w:val="00B519F3"/>
    <w:rsid w:val="00B52A55"/>
    <w:rsid w:val="00B530BA"/>
    <w:rsid w:val="00B53641"/>
    <w:rsid w:val="00B53B86"/>
    <w:rsid w:val="00B57425"/>
    <w:rsid w:val="00B57D12"/>
    <w:rsid w:val="00B60F0A"/>
    <w:rsid w:val="00B60F1E"/>
    <w:rsid w:val="00B620DE"/>
    <w:rsid w:val="00B646A4"/>
    <w:rsid w:val="00B66751"/>
    <w:rsid w:val="00B679D2"/>
    <w:rsid w:val="00B7010B"/>
    <w:rsid w:val="00B71509"/>
    <w:rsid w:val="00B716DE"/>
    <w:rsid w:val="00B71DAD"/>
    <w:rsid w:val="00B76B69"/>
    <w:rsid w:val="00B81807"/>
    <w:rsid w:val="00B84275"/>
    <w:rsid w:val="00B86286"/>
    <w:rsid w:val="00B869E1"/>
    <w:rsid w:val="00B87DB1"/>
    <w:rsid w:val="00B87E74"/>
    <w:rsid w:val="00B91356"/>
    <w:rsid w:val="00B919DD"/>
    <w:rsid w:val="00B93563"/>
    <w:rsid w:val="00B94B2C"/>
    <w:rsid w:val="00B9632B"/>
    <w:rsid w:val="00B96618"/>
    <w:rsid w:val="00BA03BA"/>
    <w:rsid w:val="00BA1A0E"/>
    <w:rsid w:val="00BA2000"/>
    <w:rsid w:val="00BA2206"/>
    <w:rsid w:val="00BA2790"/>
    <w:rsid w:val="00BA38E1"/>
    <w:rsid w:val="00BA3AA0"/>
    <w:rsid w:val="00BA44E8"/>
    <w:rsid w:val="00BA73C7"/>
    <w:rsid w:val="00BA77C6"/>
    <w:rsid w:val="00BB4AFB"/>
    <w:rsid w:val="00BB64B6"/>
    <w:rsid w:val="00BB6F7B"/>
    <w:rsid w:val="00BC1156"/>
    <w:rsid w:val="00BC148B"/>
    <w:rsid w:val="00BC187A"/>
    <w:rsid w:val="00BD23B0"/>
    <w:rsid w:val="00BD3866"/>
    <w:rsid w:val="00BD42DB"/>
    <w:rsid w:val="00BD4490"/>
    <w:rsid w:val="00BD6226"/>
    <w:rsid w:val="00BE1AC9"/>
    <w:rsid w:val="00BE21F4"/>
    <w:rsid w:val="00BE3349"/>
    <w:rsid w:val="00BE5D7B"/>
    <w:rsid w:val="00BE5E0C"/>
    <w:rsid w:val="00BE5EA4"/>
    <w:rsid w:val="00BF0744"/>
    <w:rsid w:val="00BF0C16"/>
    <w:rsid w:val="00BF43BD"/>
    <w:rsid w:val="00BF6A15"/>
    <w:rsid w:val="00BF6E67"/>
    <w:rsid w:val="00BF7816"/>
    <w:rsid w:val="00C00486"/>
    <w:rsid w:val="00C009BB"/>
    <w:rsid w:val="00C018BC"/>
    <w:rsid w:val="00C05644"/>
    <w:rsid w:val="00C1058A"/>
    <w:rsid w:val="00C13881"/>
    <w:rsid w:val="00C22AD1"/>
    <w:rsid w:val="00C23977"/>
    <w:rsid w:val="00C241F3"/>
    <w:rsid w:val="00C245C7"/>
    <w:rsid w:val="00C31588"/>
    <w:rsid w:val="00C318B5"/>
    <w:rsid w:val="00C32F3F"/>
    <w:rsid w:val="00C33F79"/>
    <w:rsid w:val="00C4064D"/>
    <w:rsid w:val="00C40BFB"/>
    <w:rsid w:val="00C417FB"/>
    <w:rsid w:val="00C41D0E"/>
    <w:rsid w:val="00C439FA"/>
    <w:rsid w:val="00C462BD"/>
    <w:rsid w:val="00C46A40"/>
    <w:rsid w:val="00C471D2"/>
    <w:rsid w:val="00C47350"/>
    <w:rsid w:val="00C50558"/>
    <w:rsid w:val="00C55258"/>
    <w:rsid w:val="00C55A53"/>
    <w:rsid w:val="00C5651C"/>
    <w:rsid w:val="00C65C8D"/>
    <w:rsid w:val="00C67554"/>
    <w:rsid w:val="00C67D0B"/>
    <w:rsid w:val="00C70E22"/>
    <w:rsid w:val="00C718F6"/>
    <w:rsid w:val="00C71ECB"/>
    <w:rsid w:val="00C737DB"/>
    <w:rsid w:val="00C74BE5"/>
    <w:rsid w:val="00C7515B"/>
    <w:rsid w:val="00C75688"/>
    <w:rsid w:val="00C77AB4"/>
    <w:rsid w:val="00C83EA2"/>
    <w:rsid w:val="00C859F7"/>
    <w:rsid w:val="00C91185"/>
    <w:rsid w:val="00C931F0"/>
    <w:rsid w:val="00C9356E"/>
    <w:rsid w:val="00C93CE1"/>
    <w:rsid w:val="00C9452F"/>
    <w:rsid w:val="00C95104"/>
    <w:rsid w:val="00C9516A"/>
    <w:rsid w:val="00CA2509"/>
    <w:rsid w:val="00CA27B6"/>
    <w:rsid w:val="00CA4B8A"/>
    <w:rsid w:val="00CA60F8"/>
    <w:rsid w:val="00CA6E55"/>
    <w:rsid w:val="00CB1808"/>
    <w:rsid w:val="00CB358E"/>
    <w:rsid w:val="00CB3E23"/>
    <w:rsid w:val="00CB55F6"/>
    <w:rsid w:val="00CB5EC3"/>
    <w:rsid w:val="00CB605F"/>
    <w:rsid w:val="00CB67C8"/>
    <w:rsid w:val="00CC134B"/>
    <w:rsid w:val="00CC1D9C"/>
    <w:rsid w:val="00CC1F5D"/>
    <w:rsid w:val="00CC2750"/>
    <w:rsid w:val="00CC317C"/>
    <w:rsid w:val="00CC3CBB"/>
    <w:rsid w:val="00CC629A"/>
    <w:rsid w:val="00CC63B3"/>
    <w:rsid w:val="00CC7064"/>
    <w:rsid w:val="00CC7175"/>
    <w:rsid w:val="00CD0349"/>
    <w:rsid w:val="00CD2130"/>
    <w:rsid w:val="00CD381F"/>
    <w:rsid w:val="00CD4B0F"/>
    <w:rsid w:val="00CD52BC"/>
    <w:rsid w:val="00CE035C"/>
    <w:rsid w:val="00CE0CD3"/>
    <w:rsid w:val="00CE13FF"/>
    <w:rsid w:val="00CE3060"/>
    <w:rsid w:val="00CE30D6"/>
    <w:rsid w:val="00CE3C19"/>
    <w:rsid w:val="00CE7C99"/>
    <w:rsid w:val="00CF0D92"/>
    <w:rsid w:val="00CF2017"/>
    <w:rsid w:val="00CF528B"/>
    <w:rsid w:val="00CF6029"/>
    <w:rsid w:val="00CF60C2"/>
    <w:rsid w:val="00D009B1"/>
    <w:rsid w:val="00D01F3F"/>
    <w:rsid w:val="00D06D16"/>
    <w:rsid w:val="00D07771"/>
    <w:rsid w:val="00D07C65"/>
    <w:rsid w:val="00D10A7E"/>
    <w:rsid w:val="00D141B3"/>
    <w:rsid w:val="00D14EBA"/>
    <w:rsid w:val="00D157A9"/>
    <w:rsid w:val="00D16B78"/>
    <w:rsid w:val="00D17006"/>
    <w:rsid w:val="00D20BFF"/>
    <w:rsid w:val="00D2319B"/>
    <w:rsid w:val="00D27313"/>
    <w:rsid w:val="00D306D6"/>
    <w:rsid w:val="00D3210D"/>
    <w:rsid w:val="00D325E8"/>
    <w:rsid w:val="00D34C10"/>
    <w:rsid w:val="00D37B31"/>
    <w:rsid w:val="00D408C4"/>
    <w:rsid w:val="00D465E9"/>
    <w:rsid w:val="00D47049"/>
    <w:rsid w:val="00D47E5E"/>
    <w:rsid w:val="00D516BE"/>
    <w:rsid w:val="00D525CE"/>
    <w:rsid w:val="00D52A3A"/>
    <w:rsid w:val="00D52A84"/>
    <w:rsid w:val="00D533A8"/>
    <w:rsid w:val="00D556F7"/>
    <w:rsid w:val="00D56C8B"/>
    <w:rsid w:val="00D56EBB"/>
    <w:rsid w:val="00D57AB1"/>
    <w:rsid w:val="00D57B07"/>
    <w:rsid w:val="00D61135"/>
    <w:rsid w:val="00D61B40"/>
    <w:rsid w:val="00D61D58"/>
    <w:rsid w:val="00D62622"/>
    <w:rsid w:val="00D62807"/>
    <w:rsid w:val="00D6296F"/>
    <w:rsid w:val="00D62AC0"/>
    <w:rsid w:val="00D6372D"/>
    <w:rsid w:val="00D64390"/>
    <w:rsid w:val="00D67F12"/>
    <w:rsid w:val="00D718F8"/>
    <w:rsid w:val="00D72C23"/>
    <w:rsid w:val="00D73783"/>
    <w:rsid w:val="00D75A7F"/>
    <w:rsid w:val="00D761E7"/>
    <w:rsid w:val="00D77BCF"/>
    <w:rsid w:val="00D80697"/>
    <w:rsid w:val="00D80926"/>
    <w:rsid w:val="00D815DA"/>
    <w:rsid w:val="00D8285E"/>
    <w:rsid w:val="00D83926"/>
    <w:rsid w:val="00D83C73"/>
    <w:rsid w:val="00D8541B"/>
    <w:rsid w:val="00D879A4"/>
    <w:rsid w:val="00D93BB8"/>
    <w:rsid w:val="00D94C95"/>
    <w:rsid w:val="00D95495"/>
    <w:rsid w:val="00D97284"/>
    <w:rsid w:val="00D97F45"/>
    <w:rsid w:val="00DA02FD"/>
    <w:rsid w:val="00DA1512"/>
    <w:rsid w:val="00DA2ACE"/>
    <w:rsid w:val="00DA40A8"/>
    <w:rsid w:val="00DA48BE"/>
    <w:rsid w:val="00DA513E"/>
    <w:rsid w:val="00DA55E0"/>
    <w:rsid w:val="00DB13DF"/>
    <w:rsid w:val="00DB2131"/>
    <w:rsid w:val="00DB318C"/>
    <w:rsid w:val="00DB461A"/>
    <w:rsid w:val="00DB7734"/>
    <w:rsid w:val="00DB788A"/>
    <w:rsid w:val="00DC1535"/>
    <w:rsid w:val="00DC1C7E"/>
    <w:rsid w:val="00DC434E"/>
    <w:rsid w:val="00DC5F71"/>
    <w:rsid w:val="00DC68CC"/>
    <w:rsid w:val="00DC6E8E"/>
    <w:rsid w:val="00DC70A9"/>
    <w:rsid w:val="00DD5B47"/>
    <w:rsid w:val="00DD5EA8"/>
    <w:rsid w:val="00DD7491"/>
    <w:rsid w:val="00DD75FC"/>
    <w:rsid w:val="00DD7761"/>
    <w:rsid w:val="00DD7AA1"/>
    <w:rsid w:val="00DD7BE9"/>
    <w:rsid w:val="00DE05E3"/>
    <w:rsid w:val="00DE20E8"/>
    <w:rsid w:val="00DE2F33"/>
    <w:rsid w:val="00DE42A1"/>
    <w:rsid w:val="00DE4FC3"/>
    <w:rsid w:val="00DE56F3"/>
    <w:rsid w:val="00DE5B4E"/>
    <w:rsid w:val="00DE6304"/>
    <w:rsid w:val="00DE69A5"/>
    <w:rsid w:val="00DF02A1"/>
    <w:rsid w:val="00DF3845"/>
    <w:rsid w:val="00DF5431"/>
    <w:rsid w:val="00DF66D0"/>
    <w:rsid w:val="00E00815"/>
    <w:rsid w:val="00E00CB8"/>
    <w:rsid w:val="00E01F32"/>
    <w:rsid w:val="00E0458A"/>
    <w:rsid w:val="00E05446"/>
    <w:rsid w:val="00E106B0"/>
    <w:rsid w:val="00E115FB"/>
    <w:rsid w:val="00E1193B"/>
    <w:rsid w:val="00E157E0"/>
    <w:rsid w:val="00E15CBB"/>
    <w:rsid w:val="00E175D3"/>
    <w:rsid w:val="00E20989"/>
    <w:rsid w:val="00E232E1"/>
    <w:rsid w:val="00E23353"/>
    <w:rsid w:val="00E23A7F"/>
    <w:rsid w:val="00E24B22"/>
    <w:rsid w:val="00E27159"/>
    <w:rsid w:val="00E276D8"/>
    <w:rsid w:val="00E27977"/>
    <w:rsid w:val="00E31E5C"/>
    <w:rsid w:val="00E3288D"/>
    <w:rsid w:val="00E34E2A"/>
    <w:rsid w:val="00E35E9D"/>
    <w:rsid w:val="00E36CE2"/>
    <w:rsid w:val="00E426E5"/>
    <w:rsid w:val="00E4460C"/>
    <w:rsid w:val="00E4605C"/>
    <w:rsid w:val="00E468DF"/>
    <w:rsid w:val="00E47F4C"/>
    <w:rsid w:val="00E51EAC"/>
    <w:rsid w:val="00E53036"/>
    <w:rsid w:val="00E56265"/>
    <w:rsid w:val="00E56AE7"/>
    <w:rsid w:val="00E571FD"/>
    <w:rsid w:val="00E57BA9"/>
    <w:rsid w:val="00E57F5E"/>
    <w:rsid w:val="00E607CC"/>
    <w:rsid w:val="00E607DC"/>
    <w:rsid w:val="00E63125"/>
    <w:rsid w:val="00E6538B"/>
    <w:rsid w:val="00E67815"/>
    <w:rsid w:val="00E73D3B"/>
    <w:rsid w:val="00E7647F"/>
    <w:rsid w:val="00E77879"/>
    <w:rsid w:val="00E83600"/>
    <w:rsid w:val="00E85787"/>
    <w:rsid w:val="00E874E8"/>
    <w:rsid w:val="00E877D7"/>
    <w:rsid w:val="00E879B6"/>
    <w:rsid w:val="00E90DBC"/>
    <w:rsid w:val="00E92ADD"/>
    <w:rsid w:val="00E95A60"/>
    <w:rsid w:val="00E95F0E"/>
    <w:rsid w:val="00E95FF7"/>
    <w:rsid w:val="00E96731"/>
    <w:rsid w:val="00E96C63"/>
    <w:rsid w:val="00E96C97"/>
    <w:rsid w:val="00E975B5"/>
    <w:rsid w:val="00E97FEA"/>
    <w:rsid w:val="00EA01BE"/>
    <w:rsid w:val="00EA0301"/>
    <w:rsid w:val="00EA09B0"/>
    <w:rsid w:val="00EA18DC"/>
    <w:rsid w:val="00EA2981"/>
    <w:rsid w:val="00EA2E0E"/>
    <w:rsid w:val="00EA6EB0"/>
    <w:rsid w:val="00EA7FC6"/>
    <w:rsid w:val="00EB0837"/>
    <w:rsid w:val="00EB1572"/>
    <w:rsid w:val="00EB1641"/>
    <w:rsid w:val="00EB32E8"/>
    <w:rsid w:val="00EB4F86"/>
    <w:rsid w:val="00EB5658"/>
    <w:rsid w:val="00EB5C9F"/>
    <w:rsid w:val="00EB7496"/>
    <w:rsid w:val="00EC1205"/>
    <w:rsid w:val="00EC15E4"/>
    <w:rsid w:val="00EC2661"/>
    <w:rsid w:val="00EC3174"/>
    <w:rsid w:val="00EC3B7A"/>
    <w:rsid w:val="00EC4C73"/>
    <w:rsid w:val="00EC4D64"/>
    <w:rsid w:val="00EC5009"/>
    <w:rsid w:val="00EC7C40"/>
    <w:rsid w:val="00EC7DB9"/>
    <w:rsid w:val="00EC7E92"/>
    <w:rsid w:val="00ED3851"/>
    <w:rsid w:val="00ED4BCA"/>
    <w:rsid w:val="00ED4EEC"/>
    <w:rsid w:val="00ED6A5C"/>
    <w:rsid w:val="00ED6E52"/>
    <w:rsid w:val="00ED7298"/>
    <w:rsid w:val="00EE175B"/>
    <w:rsid w:val="00EE38D7"/>
    <w:rsid w:val="00EE47EE"/>
    <w:rsid w:val="00EF24F6"/>
    <w:rsid w:val="00EF3584"/>
    <w:rsid w:val="00EF4B4D"/>
    <w:rsid w:val="00EF6CF7"/>
    <w:rsid w:val="00EF6E78"/>
    <w:rsid w:val="00F0023C"/>
    <w:rsid w:val="00F03A1B"/>
    <w:rsid w:val="00F05450"/>
    <w:rsid w:val="00F07FDE"/>
    <w:rsid w:val="00F108FF"/>
    <w:rsid w:val="00F1101C"/>
    <w:rsid w:val="00F12D81"/>
    <w:rsid w:val="00F13025"/>
    <w:rsid w:val="00F150CF"/>
    <w:rsid w:val="00F164E2"/>
    <w:rsid w:val="00F178E4"/>
    <w:rsid w:val="00F256CC"/>
    <w:rsid w:val="00F27B2E"/>
    <w:rsid w:val="00F33613"/>
    <w:rsid w:val="00F33D53"/>
    <w:rsid w:val="00F41EF0"/>
    <w:rsid w:val="00F540C7"/>
    <w:rsid w:val="00F56B08"/>
    <w:rsid w:val="00F57678"/>
    <w:rsid w:val="00F60900"/>
    <w:rsid w:val="00F61264"/>
    <w:rsid w:val="00F6245B"/>
    <w:rsid w:val="00F655EA"/>
    <w:rsid w:val="00F6584B"/>
    <w:rsid w:val="00F66477"/>
    <w:rsid w:val="00F66A09"/>
    <w:rsid w:val="00F70056"/>
    <w:rsid w:val="00F70AFC"/>
    <w:rsid w:val="00F70FA1"/>
    <w:rsid w:val="00F739F2"/>
    <w:rsid w:val="00F73A60"/>
    <w:rsid w:val="00F74463"/>
    <w:rsid w:val="00F770C3"/>
    <w:rsid w:val="00F77ADD"/>
    <w:rsid w:val="00F81A96"/>
    <w:rsid w:val="00F81B81"/>
    <w:rsid w:val="00F8439E"/>
    <w:rsid w:val="00F856C2"/>
    <w:rsid w:val="00F87B29"/>
    <w:rsid w:val="00F90126"/>
    <w:rsid w:val="00F9292B"/>
    <w:rsid w:val="00F9349E"/>
    <w:rsid w:val="00F95B80"/>
    <w:rsid w:val="00F9707E"/>
    <w:rsid w:val="00FA6504"/>
    <w:rsid w:val="00FA7C7A"/>
    <w:rsid w:val="00FB19E1"/>
    <w:rsid w:val="00FB2410"/>
    <w:rsid w:val="00FB7B89"/>
    <w:rsid w:val="00FC0F32"/>
    <w:rsid w:val="00FC19E7"/>
    <w:rsid w:val="00FC2974"/>
    <w:rsid w:val="00FC4266"/>
    <w:rsid w:val="00FC4DF9"/>
    <w:rsid w:val="00FC610F"/>
    <w:rsid w:val="00FC74A5"/>
    <w:rsid w:val="00FD0D53"/>
    <w:rsid w:val="00FD25E4"/>
    <w:rsid w:val="00FD3155"/>
    <w:rsid w:val="00FD3468"/>
    <w:rsid w:val="00FE0F30"/>
    <w:rsid w:val="00FE1C44"/>
    <w:rsid w:val="00FE2AE0"/>
    <w:rsid w:val="00FE2EEC"/>
    <w:rsid w:val="00FE4A58"/>
    <w:rsid w:val="00FE4FE3"/>
    <w:rsid w:val="00FE56BE"/>
    <w:rsid w:val="00FF0806"/>
    <w:rsid w:val="00FF0ECB"/>
    <w:rsid w:val="00FF3151"/>
    <w:rsid w:val="00FF3677"/>
    <w:rsid w:val="00FF45FF"/>
    <w:rsid w:val="00FF4982"/>
    <w:rsid w:val="00FF548A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D94C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styleId="a3">
    <w:name w:val="Body Text"/>
    <w:basedOn w:val="a"/>
    <w:link w:val="a4"/>
    <w:rsid w:val="00D94C95"/>
    <w:pPr>
      <w:spacing w:after="120"/>
    </w:pPr>
  </w:style>
  <w:style w:type="character" w:customStyle="1" w:styleId="a4">
    <w:name w:val="Основной текст Знак"/>
    <w:link w:val="a3"/>
    <w:locked/>
    <w:rsid w:val="00D94C95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94C9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D94C95"/>
    <w:rPr>
      <w:sz w:val="24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D94C9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D94C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caption"/>
    <w:basedOn w:val="a"/>
    <w:qFormat/>
    <w:rsid w:val="00D94C95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"/>
    <w:rsid w:val="00D94C95"/>
    <w:pPr>
      <w:spacing w:after="120"/>
      <w:ind w:left="283"/>
    </w:pPr>
    <w:rPr>
      <w:sz w:val="16"/>
      <w:szCs w:val="16"/>
    </w:rPr>
  </w:style>
  <w:style w:type="character" w:customStyle="1" w:styleId="FontStyle12">
    <w:name w:val="Font Style12"/>
    <w:rsid w:val="00D94C9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94C95"/>
    <w:rPr>
      <w:rFonts w:ascii="Times New Roman" w:hAnsi="Times New Roman" w:cs="Times New Roman"/>
      <w:sz w:val="22"/>
      <w:szCs w:val="22"/>
    </w:rPr>
  </w:style>
  <w:style w:type="paragraph" w:customStyle="1" w:styleId="maintext">
    <w:name w:val="maintext"/>
    <w:basedOn w:val="a"/>
    <w:rsid w:val="00D94C95"/>
    <w:pPr>
      <w:spacing w:before="100" w:beforeAutospacing="1" w:after="100" w:afterAutospacing="1"/>
      <w:ind w:left="300" w:right="30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D94C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4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D94C95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rsid w:val="005A63FC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0A5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17">
    <w:name w:val="Font Style17"/>
    <w:rsid w:val="000A573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A573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">
    <w:name w:val="1.Текст"/>
    <w:rsid w:val="008E3FFF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paragraph" w:customStyle="1" w:styleId="5-">
    <w:name w:val="5.Табл.-шапка"/>
    <w:basedOn w:val="a"/>
    <w:rsid w:val="008E3FFF"/>
    <w:pPr>
      <w:widowControl w:val="0"/>
      <w:spacing w:before="20" w:after="20"/>
      <w:jc w:val="center"/>
    </w:pPr>
    <w:rPr>
      <w:rFonts w:ascii="Arial" w:eastAsia="Times New Roman" w:hAnsi="Arial"/>
      <w:sz w:val="20"/>
      <w:szCs w:val="20"/>
    </w:rPr>
  </w:style>
  <w:style w:type="paragraph" w:customStyle="1" w:styleId="6-">
    <w:name w:val="6.Табл.-данные"/>
    <w:qFormat/>
    <w:rsid w:val="008E3FFF"/>
    <w:pPr>
      <w:widowControl w:val="0"/>
      <w:jc w:val="center"/>
    </w:pPr>
    <w:rPr>
      <w:noProof/>
    </w:rPr>
  </w:style>
  <w:style w:type="paragraph" w:customStyle="1" w:styleId="4">
    <w:name w:val="4.Заголовок таблицы"/>
    <w:basedOn w:val="a"/>
    <w:next w:val="1"/>
    <w:rsid w:val="008E3FFF"/>
    <w:pPr>
      <w:widowControl w:val="0"/>
      <w:suppressAutoHyphens/>
      <w:spacing w:before="120"/>
      <w:jc w:val="center"/>
    </w:pPr>
    <w:rPr>
      <w:rFonts w:eastAsia="Times New Roman"/>
      <w:b/>
      <w:sz w:val="32"/>
      <w:szCs w:val="20"/>
    </w:rPr>
  </w:style>
  <w:style w:type="paragraph" w:customStyle="1" w:styleId="Style6">
    <w:name w:val="Style6"/>
    <w:basedOn w:val="a"/>
    <w:rsid w:val="00706AAA"/>
    <w:pPr>
      <w:widowControl w:val="0"/>
      <w:autoSpaceDE w:val="0"/>
      <w:autoSpaceDN w:val="0"/>
      <w:adjustRightInd w:val="0"/>
      <w:spacing w:line="275" w:lineRule="exact"/>
      <w:ind w:firstLine="538"/>
    </w:pPr>
    <w:rPr>
      <w:rFonts w:eastAsia="Times New Roman"/>
    </w:rPr>
  </w:style>
  <w:style w:type="paragraph" w:customStyle="1" w:styleId="Style1">
    <w:name w:val="Style1"/>
    <w:basedOn w:val="a"/>
    <w:rsid w:val="00706AA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706AAA"/>
    <w:pPr>
      <w:widowControl w:val="0"/>
      <w:autoSpaceDE w:val="0"/>
      <w:autoSpaceDN w:val="0"/>
      <w:adjustRightInd w:val="0"/>
      <w:spacing w:line="302" w:lineRule="exact"/>
      <w:ind w:firstLine="691"/>
    </w:pPr>
    <w:rPr>
      <w:rFonts w:eastAsia="Times New Roman"/>
    </w:rPr>
  </w:style>
  <w:style w:type="paragraph" w:customStyle="1" w:styleId="Style4">
    <w:name w:val="Style4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">
    <w:name w:val="style1"/>
    <w:basedOn w:val="a"/>
    <w:rsid w:val="006A2BE5"/>
    <w:pPr>
      <w:autoSpaceDE w:val="0"/>
      <w:autoSpaceDN w:val="0"/>
      <w:spacing w:line="277" w:lineRule="atLeast"/>
      <w:ind w:firstLine="557"/>
      <w:jc w:val="both"/>
    </w:pPr>
    <w:rPr>
      <w:rFonts w:eastAsia="Times New Roman"/>
    </w:rPr>
  </w:style>
  <w:style w:type="character" w:customStyle="1" w:styleId="fontstyle120">
    <w:name w:val="fontstyle12"/>
    <w:rsid w:val="006A2BE5"/>
    <w:rPr>
      <w:rFonts w:ascii="Times New Roman" w:hAnsi="Times New Roman" w:cs="Times New Roman" w:hint="default"/>
    </w:rPr>
  </w:style>
  <w:style w:type="paragraph" w:customStyle="1" w:styleId="Style19">
    <w:name w:val="Style19"/>
    <w:basedOn w:val="a"/>
    <w:rsid w:val="00870E8F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="Times New Roman"/>
    </w:rPr>
  </w:style>
  <w:style w:type="paragraph" w:customStyle="1" w:styleId="Style20">
    <w:name w:val="Style20"/>
    <w:basedOn w:val="a"/>
    <w:rsid w:val="00870E8F"/>
    <w:pPr>
      <w:widowControl w:val="0"/>
      <w:autoSpaceDE w:val="0"/>
      <w:autoSpaceDN w:val="0"/>
      <w:adjustRightInd w:val="0"/>
      <w:spacing w:line="281" w:lineRule="exact"/>
      <w:ind w:firstLine="120"/>
    </w:pPr>
    <w:rPr>
      <w:rFonts w:eastAsia="Times New Roman"/>
    </w:rPr>
  </w:style>
  <w:style w:type="paragraph" w:customStyle="1" w:styleId="Style22">
    <w:name w:val="Style22"/>
    <w:basedOn w:val="a"/>
    <w:rsid w:val="00870E8F"/>
    <w:pPr>
      <w:widowControl w:val="0"/>
      <w:autoSpaceDE w:val="0"/>
      <w:autoSpaceDN w:val="0"/>
      <w:adjustRightInd w:val="0"/>
      <w:spacing w:line="275" w:lineRule="exact"/>
      <w:ind w:firstLine="552"/>
      <w:jc w:val="both"/>
    </w:pPr>
    <w:rPr>
      <w:rFonts w:eastAsia="Times New Roman"/>
    </w:rPr>
  </w:style>
  <w:style w:type="paragraph" w:styleId="aa">
    <w:name w:val="Title"/>
    <w:basedOn w:val="a"/>
    <w:link w:val="ab"/>
    <w:qFormat/>
    <w:rsid w:val="00870E8F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870E8F"/>
    <w:rPr>
      <w:b/>
      <w:sz w:val="28"/>
    </w:rPr>
  </w:style>
  <w:style w:type="character" w:customStyle="1" w:styleId="highlighthighlightactive">
    <w:name w:val="highlight highlight_active"/>
    <w:basedOn w:val="a0"/>
    <w:rsid w:val="00CD0349"/>
  </w:style>
  <w:style w:type="paragraph" w:customStyle="1" w:styleId="ac">
    <w:name w:val="Знак"/>
    <w:basedOn w:val="a"/>
    <w:rsid w:val="004279F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F09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F0951"/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rsid w:val="000F09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0951"/>
    <w:rPr>
      <w:rFonts w:eastAsia="Calibri"/>
      <w:sz w:val="24"/>
      <w:szCs w:val="24"/>
    </w:rPr>
  </w:style>
  <w:style w:type="character" w:customStyle="1" w:styleId="style41">
    <w:name w:val="style41"/>
    <w:rsid w:val="00AF07EA"/>
    <w:rPr>
      <w:b/>
      <w:bCs/>
      <w:sz w:val="24"/>
      <w:szCs w:val="24"/>
    </w:rPr>
  </w:style>
  <w:style w:type="character" w:customStyle="1" w:styleId="a6">
    <w:name w:val="Без интервала Знак"/>
    <w:link w:val="a5"/>
    <w:uiPriority w:val="1"/>
    <w:rsid w:val="00E6781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text3">
    <w:name w:val="text3"/>
    <w:rsid w:val="00AD1589"/>
    <w:rPr>
      <w:rFonts w:ascii="Arial" w:hAnsi="Arial" w:cs="Arial" w:hint="default"/>
      <w:sz w:val="18"/>
      <w:szCs w:val="18"/>
    </w:rPr>
  </w:style>
  <w:style w:type="paragraph" w:styleId="af1">
    <w:name w:val="footnote text"/>
    <w:basedOn w:val="a"/>
    <w:semiHidden/>
    <w:rsid w:val="002F25E4"/>
    <w:rPr>
      <w:sz w:val="20"/>
      <w:szCs w:val="20"/>
    </w:rPr>
  </w:style>
  <w:style w:type="character" w:styleId="af2">
    <w:name w:val="footnote reference"/>
    <w:semiHidden/>
    <w:rsid w:val="002F25E4"/>
    <w:rPr>
      <w:vertAlign w:val="superscript"/>
    </w:rPr>
  </w:style>
  <w:style w:type="table" w:styleId="af3">
    <w:name w:val="Table Grid"/>
    <w:basedOn w:val="a1"/>
    <w:uiPriority w:val="59"/>
    <w:rsid w:val="00304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2E1D"/>
  </w:style>
  <w:style w:type="character" w:customStyle="1" w:styleId="FontStyle13">
    <w:name w:val="Font Style13"/>
    <w:rsid w:val="00280821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2808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Заголовок сообщения (текст)"/>
    <w:rsid w:val="00280821"/>
    <w:rPr>
      <w:b/>
      <w:bCs w:val="0"/>
      <w:sz w:val="18"/>
    </w:rPr>
  </w:style>
  <w:style w:type="paragraph" w:customStyle="1" w:styleId="Textbody">
    <w:name w:val="Text body"/>
    <w:basedOn w:val="a"/>
    <w:rsid w:val="00822C3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f5">
    <w:name w:val="annotation reference"/>
    <w:rsid w:val="00E426E5"/>
    <w:rPr>
      <w:sz w:val="16"/>
      <w:szCs w:val="16"/>
    </w:rPr>
  </w:style>
  <w:style w:type="paragraph" w:styleId="af6">
    <w:name w:val="annotation text"/>
    <w:basedOn w:val="a"/>
    <w:link w:val="af7"/>
    <w:rsid w:val="00E426E5"/>
    <w:rPr>
      <w:sz w:val="20"/>
      <w:szCs w:val="20"/>
    </w:rPr>
  </w:style>
  <w:style w:type="character" w:customStyle="1" w:styleId="af7">
    <w:name w:val="Текст примечания Знак"/>
    <w:link w:val="af6"/>
    <w:rsid w:val="00E426E5"/>
    <w:rPr>
      <w:rFonts w:eastAsia="Calibri"/>
    </w:rPr>
  </w:style>
  <w:style w:type="paragraph" w:styleId="af8">
    <w:name w:val="annotation subject"/>
    <w:basedOn w:val="af6"/>
    <w:next w:val="af6"/>
    <w:link w:val="af9"/>
    <w:rsid w:val="00E426E5"/>
    <w:rPr>
      <w:b/>
      <w:bCs/>
    </w:rPr>
  </w:style>
  <w:style w:type="character" w:customStyle="1" w:styleId="af9">
    <w:name w:val="Тема примечания Знак"/>
    <w:link w:val="af8"/>
    <w:rsid w:val="00E426E5"/>
    <w:rPr>
      <w:rFonts w:eastAsia="Calibri"/>
      <w:b/>
      <w:bCs/>
    </w:rPr>
  </w:style>
  <w:style w:type="paragraph" w:styleId="afa">
    <w:name w:val="Balloon Text"/>
    <w:basedOn w:val="a"/>
    <w:link w:val="afb"/>
    <w:rsid w:val="00E426E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426E5"/>
    <w:rPr>
      <w:rFonts w:ascii="Segoe UI" w:eastAsia="Calibri" w:hAnsi="Segoe UI" w:cs="Segoe UI"/>
      <w:sz w:val="18"/>
      <w:szCs w:val="18"/>
    </w:rPr>
  </w:style>
  <w:style w:type="paragraph" w:customStyle="1" w:styleId="afc">
    <w:name w:val="Документ"/>
    <w:basedOn w:val="a"/>
    <w:qFormat/>
    <w:rsid w:val="001F013D"/>
    <w:pPr>
      <w:jc w:val="both"/>
    </w:pPr>
    <w:rPr>
      <w:rFonts w:ascii="Arial" w:hAnsi="Arial" w:cs="Arial"/>
      <w:lang w:eastAsia="en-US"/>
    </w:rPr>
  </w:style>
  <w:style w:type="paragraph" w:styleId="afd">
    <w:name w:val="Revision"/>
    <w:hidden/>
    <w:uiPriority w:val="99"/>
    <w:semiHidden/>
    <w:rsid w:val="00C737DB"/>
    <w:rPr>
      <w:rFonts w:eastAsia="Calibri"/>
      <w:sz w:val="24"/>
      <w:szCs w:val="24"/>
    </w:rPr>
  </w:style>
  <w:style w:type="character" w:styleId="afe">
    <w:name w:val="Emphasis"/>
    <w:uiPriority w:val="20"/>
    <w:qFormat/>
    <w:rsid w:val="00B06B26"/>
    <w:rPr>
      <w:i/>
      <w:iCs/>
    </w:rPr>
  </w:style>
  <w:style w:type="character" w:styleId="aff">
    <w:name w:val="Hyperlink"/>
    <w:basedOn w:val="a0"/>
    <w:uiPriority w:val="99"/>
    <w:semiHidden/>
    <w:unhideWhenUsed/>
    <w:rsid w:val="00B869E1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B869E1"/>
    <w:rPr>
      <w:color w:val="800080"/>
      <w:u w:val="single"/>
    </w:rPr>
  </w:style>
  <w:style w:type="paragraph" w:customStyle="1" w:styleId="xl63">
    <w:name w:val="xl63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4E2D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4">
    <w:name w:val="xl64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5">
    <w:name w:val="xl65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66">
    <w:name w:val="xl66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4F7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0">
    <w:name w:val="xl70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B869E1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3">
    <w:name w:val="xl73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504D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B869E1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78">
    <w:name w:val="xl78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79">
    <w:name w:val="xl79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a"/>
    <w:rsid w:val="00B869E1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1">
    <w:name w:val="xl81"/>
    <w:basedOn w:val="a"/>
    <w:rsid w:val="00B869E1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B869E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84">
    <w:name w:val="xl84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85">
    <w:name w:val="xl85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86">
    <w:name w:val="xl86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87">
    <w:name w:val="xl87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D94C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styleId="a3">
    <w:name w:val="Body Text"/>
    <w:basedOn w:val="a"/>
    <w:link w:val="a4"/>
    <w:rsid w:val="00D94C95"/>
    <w:pPr>
      <w:spacing w:after="120"/>
    </w:pPr>
  </w:style>
  <w:style w:type="character" w:customStyle="1" w:styleId="a4">
    <w:name w:val="Основной текст Знак"/>
    <w:link w:val="a3"/>
    <w:locked/>
    <w:rsid w:val="00D94C95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94C9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D94C95"/>
    <w:rPr>
      <w:sz w:val="24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D94C9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D94C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caption"/>
    <w:basedOn w:val="a"/>
    <w:qFormat/>
    <w:rsid w:val="00D94C95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"/>
    <w:rsid w:val="00D94C95"/>
    <w:pPr>
      <w:spacing w:after="120"/>
      <w:ind w:left="283"/>
    </w:pPr>
    <w:rPr>
      <w:sz w:val="16"/>
      <w:szCs w:val="16"/>
    </w:rPr>
  </w:style>
  <w:style w:type="character" w:customStyle="1" w:styleId="FontStyle12">
    <w:name w:val="Font Style12"/>
    <w:rsid w:val="00D94C9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94C95"/>
    <w:rPr>
      <w:rFonts w:ascii="Times New Roman" w:hAnsi="Times New Roman" w:cs="Times New Roman"/>
      <w:sz w:val="22"/>
      <w:szCs w:val="22"/>
    </w:rPr>
  </w:style>
  <w:style w:type="paragraph" w:customStyle="1" w:styleId="maintext">
    <w:name w:val="maintext"/>
    <w:basedOn w:val="a"/>
    <w:rsid w:val="00D94C95"/>
    <w:pPr>
      <w:spacing w:before="100" w:beforeAutospacing="1" w:after="100" w:afterAutospacing="1"/>
      <w:ind w:left="300" w:right="30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D94C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4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D94C95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rsid w:val="005A63FC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0A5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17">
    <w:name w:val="Font Style17"/>
    <w:rsid w:val="000A573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A573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">
    <w:name w:val="1.Текст"/>
    <w:rsid w:val="008E3FFF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paragraph" w:customStyle="1" w:styleId="5-">
    <w:name w:val="5.Табл.-шапка"/>
    <w:basedOn w:val="a"/>
    <w:rsid w:val="008E3FFF"/>
    <w:pPr>
      <w:widowControl w:val="0"/>
      <w:spacing w:before="20" w:after="20"/>
      <w:jc w:val="center"/>
    </w:pPr>
    <w:rPr>
      <w:rFonts w:ascii="Arial" w:eastAsia="Times New Roman" w:hAnsi="Arial"/>
      <w:sz w:val="20"/>
      <w:szCs w:val="20"/>
    </w:rPr>
  </w:style>
  <w:style w:type="paragraph" w:customStyle="1" w:styleId="6-">
    <w:name w:val="6.Табл.-данные"/>
    <w:qFormat/>
    <w:rsid w:val="008E3FFF"/>
    <w:pPr>
      <w:widowControl w:val="0"/>
      <w:jc w:val="center"/>
    </w:pPr>
    <w:rPr>
      <w:noProof/>
    </w:rPr>
  </w:style>
  <w:style w:type="paragraph" w:customStyle="1" w:styleId="4">
    <w:name w:val="4.Заголовок таблицы"/>
    <w:basedOn w:val="a"/>
    <w:next w:val="1"/>
    <w:rsid w:val="008E3FFF"/>
    <w:pPr>
      <w:widowControl w:val="0"/>
      <w:suppressAutoHyphens/>
      <w:spacing w:before="120"/>
      <w:jc w:val="center"/>
    </w:pPr>
    <w:rPr>
      <w:rFonts w:eastAsia="Times New Roman"/>
      <w:b/>
      <w:sz w:val="32"/>
      <w:szCs w:val="20"/>
    </w:rPr>
  </w:style>
  <w:style w:type="paragraph" w:customStyle="1" w:styleId="Style6">
    <w:name w:val="Style6"/>
    <w:basedOn w:val="a"/>
    <w:rsid w:val="00706AAA"/>
    <w:pPr>
      <w:widowControl w:val="0"/>
      <w:autoSpaceDE w:val="0"/>
      <w:autoSpaceDN w:val="0"/>
      <w:adjustRightInd w:val="0"/>
      <w:spacing w:line="275" w:lineRule="exact"/>
      <w:ind w:firstLine="538"/>
    </w:pPr>
    <w:rPr>
      <w:rFonts w:eastAsia="Times New Roman"/>
    </w:rPr>
  </w:style>
  <w:style w:type="paragraph" w:customStyle="1" w:styleId="Style1">
    <w:name w:val="Style1"/>
    <w:basedOn w:val="a"/>
    <w:rsid w:val="00706AA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706AAA"/>
    <w:pPr>
      <w:widowControl w:val="0"/>
      <w:autoSpaceDE w:val="0"/>
      <w:autoSpaceDN w:val="0"/>
      <w:adjustRightInd w:val="0"/>
      <w:spacing w:line="302" w:lineRule="exact"/>
      <w:ind w:firstLine="691"/>
    </w:pPr>
    <w:rPr>
      <w:rFonts w:eastAsia="Times New Roman"/>
    </w:rPr>
  </w:style>
  <w:style w:type="paragraph" w:customStyle="1" w:styleId="Style4">
    <w:name w:val="Style4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">
    <w:name w:val="style1"/>
    <w:basedOn w:val="a"/>
    <w:rsid w:val="006A2BE5"/>
    <w:pPr>
      <w:autoSpaceDE w:val="0"/>
      <w:autoSpaceDN w:val="0"/>
      <w:spacing w:line="277" w:lineRule="atLeast"/>
      <w:ind w:firstLine="557"/>
      <w:jc w:val="both"/>
    </w:pPr>
    <w:rPr>
      <w:rFonts w:eastAsia="Times New Roman"/>
    </w:rPr>
  </w:style>
  <w:style w:type="character" w:customStyle="1" w:styleId="fontstyle120">
    <w:name w:val="fontstyle12"/>
    <w:rsid w:val="006A2BE5"/>
    <w:rPr>
      <w:rFonts w:ascii="Times New Roman" w:hAnsi="Times New Roman" w:cs="Times New Roman" w:hint="default"/>
    </w:rPr>
  </w:style>
  <w:style w:type="paragraph" w:customStyle="1" w:styleId="Style19">
    <w:name w:val="Style19"/>
    <w:basedOn w:val="a"/>
    <w:rsid w:val="00870E8F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="Times New Roman"/>
    </w:rPr>
  </w:style>
  <w:style w:type="paragraph" w:customStyle="1" w:styleId="Style20">
    <w:name w:val="Style20"/>
    <w:basedOn w:val="a"/>
    <w:rsid w:val="00870E8F"/>
    <w:pPr>
      <w:widowControl w:val="0"/>
      <w:autoSpaceDE w:val="0"/>
      <w:autoSpaceDN w:val="0"/>
      <w:adjustRightInd w:val="0"/>
      <w:spacing w:line="281" w:lineRule="exact"/>
      <w:ind w:firstLine="120"/>
    </w:pPr>
    <w:rPr>
      <w:rFonts w:eastAsia="Times New Roman"/>
    </w:rPr>
  </w:style>
  <w:style w:type="paragraph" w:customStyle="1" w:styleId="Style22">
    <w:name w:val="Style22"/>
    <w:basedOn w:val="a"/>
    <w:rsid w:val="00870E8F"/>
    <w:pPr>
      <w:widowControl w:val="0"/>
      <w:autoSpaceDE w:val="0"/>
      <w:autoSpaceDN w:val="0"/>
      <w:adjustRightInd w:val="0"/>
      <w:spacing w:line="275" w:lineRule="exact"/>
      <w:ind w:firstLine="552"/>
      <w:jc w:val="both"/>
    </w:pPr>
    <w:rPr>
      <w:rFonts w:eastAsia="Times New Roman"/>
    </w:rPr>
  </w:style>
  <w:style w:type="paragraph" w:styleId="aa">
    <w:name w:val="Title"/>
    <w:basedOn w:val="a"/>
    <w:link w:val="ab"/>
    <w:qFormat/>
    <w:rsid w:val="00870E8F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870E8F"/>
    <w:rPr>
      <w:b/>
      <w:sz w:val="28"/>
    </w:rPr>
  </w:style>
  <w:style w:type="character" w:customStyle="1" w:styleId="highlighthighlightactive">
    <w:name w:val="highlight highlight_active"/>
    <w:basedOn w:val="a0"/>
    <w:rsid w:val="00CD0349"/>
  </w:style>
  <w:style w:type="paragraph" w:customStyle="1" w:styleId="ac">
    <w:name w:val="Знак"/>
    <w:basedOn w:val="a"/>
    <w:rsid w:val="004279F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F09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F0951"/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rsid w:val="000F09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0951"/>
    <w:rPr>
      <w:rFonts w:eastAsia="Calibri"/>
      <w:sz w:val="24"/>
      <w:szCs w:val="24"/>
    </w:rPr>
  </w:style>
  <w:style w:type="character" w:customStyle="1" w:styleId="style41">
    <w:name w:val="style41"/>
    <w:rsid w:val="00AF07EA"/>
    <w:rPr>
      <w:b/>
      <w:bCs/>
      <w:sz w:val="24"/>
      <w:szCs w:val="24"/>
    </w:rPr>
  </w:style>
  <w:style w:type="character" w:customStyle="1" w:styleId="a6">
    <w:name w:val="Без интервала Знак"/>
    <w:link w:val="a5"/>
    <w:uiPriority w:val="1"/>
    <w:rsid w:val="00E6781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text3">
    <w:name w:val="text3"/>
    <w:rsid w:val="00AD1589"/>
    <w:rPr>
      <w:rFonts w:ascii="Arial" w:hAnsi="Arial" w:cs="Arial" w:hint="default"/>
      <w:sz w:val="18"/>
      <w:szCs w:val="18"/>
    </w:rPr>
  </w:style>
  <w:style w:type="paragraph" w:styleId="af1">
    <w:name w:val="footnote text"/>
    <w:basedOn w:val="a"/>
    <w:semiHidden/>
    <w:rsid w:val="002F25E4"/>
    <w:rPr>
      <w:sz w:val="20"/>
      <w:szCs w:val="20"/>
    </w:rPr>
  </w:style>
  <w:style w:type="character" w:styleId="af2">
    <w:name w:val="footnote reference"/>
    <w:semiHidden/>
    <w:rsid w:val="002F25E4"/>
    <w:rPr>
      <w:vertAlign w:val="superscript"/>
    </w:rPr>
  </w:style>
  <w:style w:type="table" w:styleId="af3">
    <w:name w:val="Table Grid"/>
    <w:basedOn w:val="a1"/>
    <w:uiPriority w:val="59"/>
    <w:rsid w:val="00304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2E1D"/>
  </w:style>
  <w:style w:type="character" w:customStyle="1" w:styleId="FontStyle13">
    <w:name w:val="Font Style13"/>
    <w:rsid w:val="00280821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2808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Заголовок сообщения (текст)"/>
    <w:rsid w:val="00280821"/>
    <w:rPr>
      <w:b/>
      <w:bCs w:val="0"/>
      <w:sz w:val="18"/>
    </w:rPr>
  </w:style>
  <w:style w:type="paragraph" w:customStyle="1" w:styleId="Textbody">
    <w:name w:val="Text body"/>
    <w:basedOn w:val="a"/>
    <w:rsid w:val="00822C3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f5">
    <w:name w:val="annotation reference"/>
    <w:rsid w:val="00E426E5"/>
    <w:rPr>
      <w:sz w:val="16"/>
      <w:szCs w:val="16"/>
    </w:rPr>
  </w:style>
  <w:style w:type="paragraph" w:styleId="af6">
    <w:name w:val="annotation text"/>
    <w:basedOn w:val="a"/>
    <w:link w:val="af7"/>
    <w:rsid w:val="00E426E5"/>
    <w:rPr>
      <w:sz w:val="20"/>
      <w:szCs w:val="20"/>
    </w:rPr>
  </w:style>
  <w:style w:type="character" w:customStyle="1" w:styleId="af7">
    <w:name w:val="Текст примечания Знак"/>
    <w:link w:val="af6"/>
    <w:rsid w:val="00E426E5"/>
    <w:rPr>
      <w:rFonts w:eastAsia="Calibri"/>
    </w:rPr>
  </w:style>
  <w:style w:type="paragraph" w:styleId="af8">
    <w:name w:val="annotation subject"/>
    <w:basedOn w:val="af6"/>
    <w:next w:val="af6"/>
    <w:link w:val="af9"/>
    <w:rsid w:val="00E426E5"/>
    <w:rPr>
      <w:b/>
      <w:bCs/>
    </w:rPr>
  </w:style>
  <w:style w:type="character" w:customStyle="1" w:styleId="af9">
    <w:name w:val="Тема примечания Знак"/>
    <w:link w:val="af8"/>
    <w:rsid w:val="00E426E5"/>
    <w:rPr>
      <w:rFonts w:eastAsia="Calibri"/>
      <w:b/>
      <w:bCs/>
    </w:rPr>
  </w:style>
  <w:style w:type="paragraph" w:styleId="afa">
    <w:name w:val="Balloon Text"/>
    <w:basedOn w:val="a"/>
    <w:link w:val="afb"/>
    <w:rsid w:val="00E426E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426E5"/>
    <w:rPr>
      <w:rFonts w:ascii="Segoe UI" w:eastAsia="Calibri" w:hAnsi="Segoe UI" w:cs="Segoe UI"/>
      <w:sz w:val="18"/>
      <w:szCs w:val="18"/>
    </w:rPr>
  </w:style>
  <w:style w:type="paragraph" w:customStyle="1" w:styleId="afc">
    <w:name w:val="Документ"/>
    <w:basedOn w:val="a"/>
    <w:qFormat/>
    <w:rsid w:val="001F013D"/>
    <w:pPr>
      <w:jc w:val="both"/>
    </w:pPr>
    <w:rPr>
      <w:rFonts w:ascii="Arial" w:hAnsi="Arial" w:cs="Arial"/>
      <w:lang w:eastAsia="en-US"/>
    </w:rPr>
  </w:style>
  <w:style w:type="paragraph" w:styleId="afd">
    <w:name w:val="Revision"/>
    <w:hidden/>
    <w:uiPriority w:val="99"/>
    <w:semiHidden/>
    <w:rsid w:val="00C737DB"/>
    <w:rPr>
      <w:rFonts w:eastAsia="Calibri"/>
      <w:sz w:val="24"/>
      <w:szCs w:val="24"/>
    </w:rPr>
  </w:style>
  <w:style w:type="character" w:styleId="afe">
    <w:name w:val="Emphasis"/>
    <w:uiPriority w:val="20"/>
    <w:qFormat/>
    <w:rsid w:val="00B06B26"/>
    <w:rPr>
      <w:i/>
      <w:iCs/>
    </w:rPr>
  </w:style>
  <w:style w:type="character" w:styleId="aff">
    <w:name w:val="Hyperlink"/>
    <w:basedOn w:val="a0"/>
    <w:uiPriority w:val="99"/>
    <w:semiHidden/>
    <w:unhideWhenUsed/>
    <w:rsid w:val="00B869E1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B869E1"/>
    <w:rPr>
      <w:color w:val="800080"/>
      <w:u w:val="single"/>
    </w:rPr>
  </w:style>
  <w:style w:type="paragraph" w:customStyle="1" w:styleId="xl63">
    <w:name w:val="xl63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4E2D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4">
    <w:name w:val="xl64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5">
    <w:name w:val="xl65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66">
    <w:name w:val="xl66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4F7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0">
    <w:name w:val="xl70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B869E1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3">
    <w:name w:val="xl73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504D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B869E1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78">
    <w:name w:val="xl78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79">
    <w:name w:val="xl79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a"/>
    <w:rsid w:val="00B869E1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1">
    <w:name w:val="xl81"/>
    <w:basedOn w:val="a"/>
    <w:rsid w:val="00B869E1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B869E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84">
    <w:name w:val="xl84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85">
    <w:name w:val="xl85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86">
    <w:name w:val="xl86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87">
    <w:name w:val="xl87"/>
    <w:basedOn w:val="a"/>
    <w:rsid w:val="00B869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4F2ED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AFA7-080B-4C4D-A419-96DA3F21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9882</Words>
  <Characters>56330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Текстовая часть доклада «Показатели эффективности деятельности органов местного самоуправления городского округа «Сыктывкар»</vt:lpstr>
    </vt:vector>
  </TitlesOfParts>
  <Company>Администрация МО ГО "Сыктывкар"</Company>
  <LinksUpToDate>false</LinksUpToDate>
  <CharactersWithSpaces>66080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Текстовая часть доклада «Показатели эффективности деятельности органов местного самоуправления городского округа «Сыктывкар»</dc:title>
  <dc:creator>Малышева</dc:creator>
  <cp:lastModifiedBy>Антоновская Наталья Ивановна</cp:lastModifiedBy>
  <cp:revision>3</cp:revision>
  <cp:lastPrinted>2021-04-29T05:48:00Z</cp:lastPrinted>
  <dcterms:created xsi:type="dcterms:W3CDTF">2021-06-15T06:33:00Z</dcterms:created>
  <dcterms:modified xsi:type="dcterms:W3CDTF">2021-07-01T08:24:00Z</dcterms:modified>
</cp:coreProperties>
</file>