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5" w:rsidRPr="00A11F17" w:rsidRDefault="008C5B75" w:rsidP="003036D1">
      <w:pPr>
        <w:jc w:val="center"/>
        <w:rPr>
          <w:sz w:val="28"/>
          <w:szCs w:val="28"/>
        </w:rPr>
      </w:pPr>
      <w:r w:rsidRPr="00A11F17">
        <w:rPr>
          <w:rFonts w:eastAsia="Calibri"/>
          <w:sz w:val="28"/>
          <w:szCs w:val="28"/>
        </w:rPr>
        <w:t xml:space="preserve">О результатах </w:t>
      </w:r>
      <w:r w:rsidR="00A11F17" w:rsidRPr="00A11F17">
        <w:rPr>
          <w:rFonts w:eastAsia="Calibri"/>
          <w:sz w:val="28"/>
          <w:szCs w:val="28"/>
        </w:rPr>
        <w:t>проверки законности и эффективности использования муниципального имущества</w:t>
      </w:r>
    </w:p>
    <w:p w:rsidR="00772843" w:rsidRPr="00A11F17" w:rsidRDefault="00772843" w:rsidP="00C31071">
      <w:pPr>
        <w:spacing w:before="120"/>
        <w:ind w:firstLine="426"/>
        <w:jc w:val="both"/>
        <w:rPr>
          <w:rFonts w:eastAsia="Calibri"/>
          <w:sz w:val="28"/>
          <w:szCs w:val="28"/>
        </w:rPr>
      </w:pPr>
      <w:r w:rsidRPr="00A11F17">
        <w:rPr>
          <w:sz w:val="28"/>
          <w:szCs w:val="28"/>
        </w:rPr>
        <w:t>В соо</w:t>
      </w:r>
      <w:r w:rsidR="00A171A9" w:rsidRPr="00A11F17">
        <w:rPr>
          <w:sz w:val="28"/>
          <w:szCs w:val="28"/>
        </w:rPr>
        <w:t>тветствии с планом работы на 202</w:t>
      </w:r>
      <w:r w:rsidR="00E07222" w:rsidRPr="00A11F17">
        <w:rPr>
          <w:sz w:val="28"/>
          <w:szCs w:val="28"/>
        </w:rPr>
        <w:t>1</w:t>
      </w:r>
      <w:r w:rsidRPr="00A11F17">
        <w:rPr>
          <w:sz w:val="28"/>
          <w:szCs w:val="28"/>
        </w:rPr>
        <w:t xml:space="preserve"> год</w:t>
      </w:r>
      <w:r w:rsidR="00DD357E" w:rsidRPr="00A11F17">
        <w:rPr>
          <w:sz w:val="28"/>
          <w:szCs w:val="28"/>
        </w:rPr>
        <w:t>,</w:t>
      </w:r>
      <w:r w:rsidRPr="00A11F17">
        <w:rPr>
          <w:sz w:val="28"/>
          <w:szCs w:val="28"/>
        </w:rPr>
        <w:t xml:space="preserve"> Контрольно-счетной палатой муниципального образования городского округа "Сыктывкар" проведен</w:t>
      </w:r>
      <w:r w:rsidR="00A11F17" w:rsidRPr="00A11F17">
        <w:rPr>
          <w:sz w:val="28"/>
          <w:szCs w:val="28"/>
        </w:rPr>
        <w:t>а</w:t>
      </w:r>
      <w:r w:rsidRPr="00A11F17">
        <w:rPr>
          <w:sz w:val="28"/>
          <w:szCs w:val="28"/>
        </w:rPr>
        <w:t xml:space="preserve"> </w:t>
      </w:r>
      <w:r w:rsidR="00A11F17" w:rsidRPr="00A11F17">
        <w:rPr>
          <w:sz w:val="28"/>
          <w:szCs w:val="28"/>
        </w:rPr>
        <w:t>проверка законности и эффективности использования муниципального имущества</w:t>
      </w:r>
      <w:r w:rsidR="004739D9" w:rsidRPr="00A11F17">
        <w:rPr>
          <w:rFonts w:eastAsia="Calibri"/>
          <w:sz w:val="28"/>
          <w:szCs w:val="28"/>
        </w:rPr>
        <w:t>.</w:t>
      </w:r>
    </w:p>
    <w:p w:rsidR="00464D32" w:rsidRPr="00C14590" w:rsidRDefault="00464D32" w:rsidP="00464D32">
      <w:pPr>
        <w:pStyle w:val="af4"/>
        <w:spacing w:before="60" w:line="228" w:lineRule="auto"/>
        <w:ind w:left="0" w:right="-57"/>
        <w:jc w:val="both"/>
        <w:rPr>
          <w:iCs/>
          <w:spacing w:val="-8"/>
          <w:sz w:val="28"/>
          <w:szCs w:val="28"/>
          <w:u w:val="single"/>
        </w:rPr>
      </w:pPr>
      <w:r w:rsidRPr="00C14590">
        <w:rPr>
          <w:iCs/>
          <w:spacing w:val="-8"/>
          <w:sz w:val="28"/>
          <w:szCs w:val="28"/>
          <w:u w:val="single"/>
        </w:rPr>
        <w:t>Общие положения</w:t>
      </w:r>
    </w:p>
    <w:p w:rsidR="00A11F17" w:rsidRPr="00A11F17" w:rsidRDefault="00A11F17" w:rsidP="00C31071">
      <w:pPr>
        <w:ind w:firstLine="425"/>
        <w:jc w:val="both"/>
        <w:rPr>
          <w:sz w:val="28"/>
          <w:szCs w:val="28"/>
        </w:rPr>
      </w:pPr>
      <w:r w:rsidRPr="00A11F17">
        <w:rPr>
          <w:sz w:val="28"/>
          <w:szCs w:val="28"/>
        </w:rPr>
        <w:t>Проведенной проверкой охвачена деятельность двух администраторов доходов от использования муниципального имущества</w:t>
      </w:r>
      <w:r w:rsidR="005400D9">
        <w:rPr>
          <w:sz w:val="28"/>
          <w:szCs w:val="28"/>
        </w:rPr>
        <w:t xml:space="preserve"> </w:t>
      </w:r>
      <w:r w:rsidR="005400D9" w:rsidRPr="00A11F17">
        <w:rPr>
          <w:sz w:val="28"/>
          <w:szCs w:val="28"/>
        </w:rPr>
        <w:t>(далее</w:t>
      </w:r>
      <w:r w:rsidR="005400D9">
        <w:rPr>
          <w:sz w:val="28"/>
          <w:szCs w:val="28"/>
        </w:rPr>
        <w:t xml:space="preserve"> </w:t>
      </w:r>
      <w:r w:rsidR="005400D9" w:rsidRPr="00A11F17">
        <w:rPr>
          <w:sz w:val="28"/>
          <w:szCs w:val="28"/>
        </w:rPr>
        <w:t>– администраторы доходов)</w:t>
      </w:r>
      <w:r w:rsidRPr="00A11F17">
        <w:rPr>
          <w:sz w:val="28"/>
          <w:szCs w:val="28"/>
        </w:rPr>
        <w:t>: Комитета по управлению муниципальным имуществом</w:t>
      </w:r>
      <w:r w:rsidR="005400D9">
        <w:rPr>
          <w:sz w:val="28"/>
          <w:szCs w:val="28"/>
        </w:rPr>
        <w:t xml:space="preserve"> администрации МО ГО "Сыктывкар" (далее – Комитет)</w:t>
      </w:r>
      <w:r w:rsidRPr="00A11F17">
        <w:rPr>
          <w:sz w:val="28"/>
          <w:szCs w:val="28"/>
        </w:rPr>
        <w:t xml:space="preserve"> и Администрации Эжвинского района </w:t>
      </w:r>
      <w:r w:rsidR="005400D9">
        <w:rPr>
          <w:sz w:val="28"/>
          <w:szCs w:val="28"/>
        </w:rPr>
        <w:t>МО ГО "Сыктывкар" (далее - Администрации Эжвинского района)</w:t>
      </w:r>
      <w:r w:rsidRPr="00A11F17">
        <w:rPr>
          <w:sz w:val="28"/>
          <w:szCs w:val="28"/>
        </w:rPr>
        <w:t>.</w:t>
      </w:r>
    </w:p>
    <w:p w:rsidR="00A11F17" w:rsidRPr="00464D32" w:rsidRDefault="00464D32" w:rsidP="00C31071">
      <w:pPr>
        <w:ind w:firstLine="425"/>
        <w:jc w:val="both"/>
        <w:rPr>
          <w:sz w:val="28"/>
          <w:szCs w:val="28"/>
        </w:rPr>
      </w:pPr>
      <w:r w:rsidRPr="00464D32">
        <w:rPr>
          <w:sz w:val="28"/>
          <w:szCs w:val="28"/>
        </w:rPr>
        <w:t>У</w:t>
      </w:r>
      <w:r w:rsidR="00A11F17" w:rsidRPr="00464D32">
        <w:rPr>
          <w:sz w:val="28"/>
          <w:szCs w:val="28"/>
        </w:rPr>
        <w:t>становлены замечания к ведению</w:t>
      </w:r>
      <w:r w:rsidRPr="00464D32">
        <w:rPr>
          <w:sz w:val="28"/>
          <w:szCs w:val="28"/>
        </w:rPr>
        <w:t xml:space="preserve"> реестра муниципального имущества</w:t>
      </w:r>
      <w:r w:rsidR="00A11F17" w:rsidRPr="00464D32">
        <w:rPr>
          <w:sz w:val="28"/>
          <w:szCs w:val="28"/>
        </w:rPr>
        <w:t>, в том числе отсутствие или недостоверность данных, наличие</w:t>
      </w:r>
      <w:r w:rsidR="00C31071">
        <w:rPr>
          <w:sz w:val="28"/>
          <w:szCs w:val="28"/>
        </w:rPr>
        <w:t xml:space="preserve"> в реестре</w:t>
      </w:r>
      <w:r w:rsidR="00A11F17" w:rsidRPr="00464D32">
        <w:rPr>
          <w:sz w:val="28"/>
          <w:szCs w:val="28"/>
        </w:rPr>
        <w:t xml:space="preserve"> исключенных объектов.</w:t>
      </w:r>
    </w:p>
    <w:p w:rsidR="00A11F17" w:rsidRPr="00464D32" w:rsidRDefault="00A11F17" w:rsidP="00464D32">
      <w:pPr>
        <w:pStyle w:val="af4"/>
        <w:spacing w:before="120"/>
        <w:ind w:left="-57" w:right="-57"/>
        <w:jc w:val="both"/>
        <w:rPr>
          <w:iCs/>
          <w:sz w:val="28"/>
          <w:szCs w:val="28"/>
          <w:u w:val="single"/>
        </w:rPr>
      </w:pPr>
      <w:r w:rsidRPr="00464D32">
        <w:rPr>
          <w:iCs/>
          <w:sz w:val="28"/>
          <w:szCs w:val="28"/>
          <w:u w:val="single"/>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p w:rsidR="00A11F17" w:rsidRPr="00464D32" w:rsidRDefault="00A11F17" w:rsidP="00C31071">
      <w:pPr>
        <w:ind w:firstLine="425"/>
        <w:jc w:val="both"/>
        <w:rPr>
          <w:rFonts w:eastAsia="Calibri"/>
          <w:sz w:val="28"/>
          <w:lang w:eastAsia="en-US"/>
        </w:rPr>
      </w:pPr>
      <w:r w:rsidRPr="00464D32">
        <w:rPr>
          <w:rFonts w:eastAsia="Calibri"/>
          <w:sz w:val="28"/>
          <w:lang w:eastAsia="en-US"/>
        </w:rPr>
        <w:t>По итогам работы за 2019 год только 1 из 6 хозяйственных обществ планировало получение прибыли. В 2020 году в муниципальный бюджет поступили доходы от 1 общества в сумме 583,9 тыс. рублей.</w:t>
      </w:r>
    </w:p>
    <w:p w:rsidR="00A11F17" w:rsidRPr="008148FF" w:rsidRDefault="00A11F17" w:rsidP="008148FF">
      <w:pPr>
        <w:pStyle w:val="af4"/>
        <w:spacing w:before="120"/>
        <w:ind w:left="-57" w:right="-57"/>
        <w:jc w:val="both"/>
        <w:rPr>
          <w:iCs/>
          <w:sz w:val="28"/>
          <w:szCs w:val="28"/>
          <w:u w:val="single"/>
        </w:rPr>
      </w:pPr>
      <w:r w:rsidRPr="008148FF">
        <w:rPr>
          <w:iCs/>
          <w:sz w:val="28"/>
          <w:szCs w:val="28"/>
          <w:u w:val="single"/>
        </w:rPr>
        <w:t>Доходы, получаемые в виде арендной платы за земельные участки, а также средства от продажи права на заключение договоров аренды земельных участков (находящиеся в государственной и муниципальной собственности)</w:t>
      </w:r>
    </w:p>
    <w:p w:rsidR="00A11F17" w:rsidRPr="008148FF" w:rsidRDefault="00A11F17" w:rsidP="00C31071">
      <w:pPr>
        <w:ind w:firstLine="425"/>
        <w:jc w:val="both"/>
        <w:rPr>
          <w:sz w:val="28"/>
          <w:szCs w:val="28"/>
        </w:rPr>
      </w:pPr>
      <w:r w:rsidRPr="008148FF">
        <w:rPr>
          <w:sz w:val="28"/>
          <w:szCs w:val="28"/>
        </w:rPr>
        <w:t xml:space="preserve">В течение 2020 года задолженность по поступлениям от арендной платы за земельные участки, значащаяся </w:t>
      </w:r>
      <w:r w:rsidR="008148FF" w:rsidRPr="008148FF">
        <w:rPr>
          <w:sz w:val="28"/>
          <w:szCs w:val="28"/>
        </w:rPr>
        <w:t>в учете Управления архитектуры</w:t>
      </w:r>
      <w:r w:rsidRPr="008148FF">
        <w:rPr>
          <w:sz w:val="28"/>
          <w:szCs w:val="28"/>
        </w:rPr>
        <w:t>, увеличилась в 3 раза (с 65 071,6 до 197 208,6 тыс. рублей). Данная задолженность передана в Комитет 11.12.2020 и по состоянию на 01.07.2021 снизилась до 145 279,1 тыс. рублей.</w:t>
      </w:r>
    </w:p>
    <w:p w:rsidR="00A11F17" w:rsidRPr="008148FF" w:rsidRDefault="008148FF" w:rsidP="00C31071">
      <w:pPr>
        <w:ind w:firstLine="425"/>
        <w:jc w:val="both"/>
        <w:rPr>
          <w:sz w:val="28"/>
          <w:szCs w:val="28"/>
        </w:rPr>
      </w:pPr>
      <w:r w:rsidRPr="008148FF">
        <w:rPr>
          <w:sz w:val="28"/>
          <w:szCs w:val="28"/>
        </w:rPr>
        <w:t>Предложение Палаты об установлении ежемесячного срока внесения арендной платы за земельные участки на условиях авансирования для обеспечения более равномерного поступления неналоговых доходов и снижение объемов задолженности не было поддержано, при</w:t>
      </w:r>
      <w:r w:rsidR="00A11F17" w:rsidRPr="008148FF">
        <w:rPr>
          <w:sz w:val="28"/>
          <w:szCs w:val="28"/>
        </w:rPr>
        <w:t xml:space="preserve"> этом предложение в части установления авансирования не рассматривалось, иные альтернативы (в том числе обеспечительный платеж) не предложены.</w:t>
      </w:r>
    </w:p>
    <w:p w:rsidR="00A11F17" w:rsidRPr="008148FF" w:rsidRDefault="00A11F17" w:rsidP="008148FF">
      <w:pPr>
        <w:pStyle w:val="af4"/>
        <w:spacing w:before="120"/>
        <w:ind w:left="-57" w:right="-57"/>
        <w:jc w:val="both"/>
        <w:rPr>
          <w:iCs/>
          <w:sz w:val="28"/>
          <w:szCs w:val="28"/>
          <w:u w:val="single"/>
        </w:rPr>
      </w:pPr>
      <w:r w:rsidRPr="008148FF">
        <w:rPr>
          <w:iCs/>
          <w:sz w:val="28"/>
          <w:szCs w:val="28"/>
          <w:u w:val="single"/>
        </w:rPr>
        <w:t>Доходы от сдачи в аренду имущества, составляющего казну городских округов (за исключением земельных участков)</w:t>
      </w:r>
    </w:p>
    <w:p w:rsidR="00A11F17" w:rsidRPr="001307B3" w:rsidRDefault="00A11F17" w:rsidP="00C31071">
      <w:pPr>
        <w:ind w:firstLine="425"/>
        <w:jc w:val="both"/>
        <w:rPr>
          <w:sz w:val="28"/>
          <w:szCs w:val="28"/>
        </w:rPr>
      </w:pPr>
      <w:r w:rsidRPr="001307B3">
        <w:rPr>
          <w:sz w:val="28"/>
          <w:szCs w:val="28"/>
        </w:rPr>
        <w:t xml:space="preserve">По состоянию на 01.07.2021 в учете администраторов доходов числится 39 неиспользуемых помещений общей площадью </w:t>
      </w:r>
      <w:r w:rsidR="008148FF" w:rsidRPr="001307B3">
        <w:rPr>
          <w:sz w:val="28"/>
          <w:szCs w:val="28"/>
        </w:rPr>
        <w:t xml:space="preserve">9 625,6 </w:t>
      </w:r>
      <w:r w:rsidRPr="001307B3">
        <w:rPr>
          <w:sz w:val="28"/>
          <w:szCs w:val="28"/>
        </w:rPr>
        <w:t>кв.м. Использование пустующих помещений могло бы обеспечить поступление дополнительных неналоговых доходов в муниципальный бюджет при условии их надлежащей подготовки (прокладка коммуникаций, проведение ремонта).</w:t>
      </w:r>
    </w:p>
    <w:p w:rsidR="00A11F17" w:rsidRPr="001307B3" w:rsidRDefault="00A11F17" w:rsidP="00C31071">
      <w:pPr>
        <w:ind w:firstLine="425"/>
        <w:jc w:val="both"/>
        <w:rPr>
          <w:sz w:val="28"/>
          <w:szCs w:val="28"/>
        </w:rPr>
      </w:pPr>
      <w:r w:rsidRPr="001307B3">
        <w:rPr>
          <w:sz w:val="28"/>
          <w:szCs w:val="28"/>
        </w:rPr>
        <w:t>В результате неправомерного применения оценщиком понижающего коэффициента, установленного Метод</w:t>
      </w:r>
      <w:r w:rsidR="001307B3" w:rsidRPr="001307B3">
        <w:rPr>
          <w:sz w:val="28"/>
          <w:szCs w:val="28"/>
        </w:rPr>
        <w:t>икой определения арендной платы</w:t>
      </w:r>
      <w:r w:rsidR="00F5414B">
        <w:rPr>
          <w:sz w:val="28"/>
          <w:szCs w:val="28"/>
        </w:rPr>
        <w:t>,</w:t>
      </w:r>
      <w:r w:rsidRPr="001307B3">
        <w:rPr>
          <w:sz w:val="28"/>
          <w:szCs w:val="28"/>
        </w:rPr>
        <w:t xml:space="preserve"> </w:t>
      </w:r>
      <w:r w:rsidRPr="001307B3">
        <w:rPr>
          <w:sz w:val="28"/>
          <w:szCs w:val="28"/>
        </w:rPr>
        <w:lastRenderedPageBreak/>
        <w:t>утвержденной решением Совета МО ГО "Сыктывк</w:t>
      </w:r>
      <w:r w:rsidR="006356E6">
        <w:rPr>
          <w:sz w:val="28"/>
          <w:szCs w:val="28"/>
        </w:rPr>
        <w:t>ар" от 19.04.2017 № 20/2017-235</w:t>
      </w:r>
      <w:r w:rsidRPr="001307B3">
        <w:rPr>
          <w:sz w:val="28"/>
          <w:szCs w:val="28"/>
        </w:rPr>
        <w:t>, рыночная стоимость арендной платы уменьшилась в 6,7 раза, а потери бюджета за 5 лет составят 2 848,7 тыс. рублей.</w:t>
      </w:r>
    </w:p>
    <w:p w:rsidR="00A11F17" w:rsidRPr="001307B3" w:rsidRDefault="00A11F17" w:rsidP="00C31071">
      <w:pPr>
        <w:ind w:firstLine="425"/>
        <w:jc w:val="both"/>
        <w:rPr>
          <w:sz w:val="28"/>
          <w:szCs w:val="28"/>
        </w:rPr>
      </w:pPr>
      <w:r w:rsidRPr="001307B3">
        <w:rPr>
          <w:sz w:val="28"/>
          <w:szCs w:val="28"/>
        </w:rPr>
        <w:t>В нарушение требований пункта 1 части 9 статьи 17.1 Федерального закона от 26.07.2006 № 135-ФЗ "О защите конкуренции" в двух случаях при заключении договоров аренды на новый срок Комитетом установлена арендная плата не по результатам оценки, а в размере арендной платы по действующим договорам аренды. Общие потери бюджета составили 10,4 тыс. рублей.</w:t>
      </w:r>
    </w:p>
    <w:p w:rsidR="00A11F17" w:rsidRPr="001307B3" w:rsidRDefault="00A11F17" w:rsidP="00C31071">
      <w:pPr>
        <w:ind w:firstLine="425"/>
        <w:jc w:val="both"/>
        <w:rPr>
          <w:sz w:val="28"/>
          <w:szCs w:val="28"/>
        </w:rPr>
      </w:pPr>
      <w:r w:rsidRPr="001307B3">
        <w:rPr>
          <w:sz w:val="28"/>
          <w:szCs w:val="28"/>
        </w:rPr>
        <w:t>В нарушение требований абзаца 2 статьи 12 Федерального закона от 29.07.1998 № 135-ФЗ "Об оценочной деятельности в Российской Федерации" для определения начальной (минимальной) цены договора аренды Комитетом использован отчет оценщика, срок действия которого истек.</w:t>
      </w:r>
    </w:p>
    <w:p w:rsidR="00A11F17" w:rsidRPr="006356E6" w:rsidRDefault="00A11F17" w:rsidP="001307B3">
      <w:pPr>
        <w:pStyle w:val="af4"/>
        <w:spacing w:before="120"/>
        <w:ind w:left="-57" w:right="-57"/>
        <w:jc w:val="both"/>
        <w:rPr>
          <w:i/>
          <w:iCs/>
          <w:sz w:val="28"/>
          <w:szCs w:val="28"/>
          <w:u w:val="single"/>
        </w:rPr>
      </w:pPr>
      <w:r w:rsidRPr="006356E6">
        <w:rPr>
          <w:i/>
          <w:iCs/>
          <w:sz w:val="28"/>
          <w:szCs w:val="28"/>
          <w:u w:val="single"/>
        </w:rPr>
        <w:t>Имущественная поддержка субъектов малого и среднего предпринимательства</w:t>
      </w:r>
    </w:p>
    <w:p w:rsidR="001307B3" w:rsidRPr="00EB4D14" w:rsidRDefault="00A11F17" w:rsidP="00C31071">
      <w:pPr>
        <w:ind w:firstLine="426"/>
        <w:jc w:val="both"/>
        <w:rPr>
          <w:sz w:val="28"/>
          <w:szCs w:val="28"/>
        </w:rPr>
      </w:pPr>
      <w:r w:rsidRPr="00EB4D14">
        <w:rPr>
          <w:sz w:val="28"/>
          <w:szCs w:val="28"/>
        </w:rPr>
        <w:t xml:space="preserve">Имущественная поддержка субъектов малого и среднего предпринимательства (далее – </w:t>
      </w:r>
      <w:proofErr w:type="spellStart"/>
      <w:r w:rsidRPr="00EB4D14">
        <w:rPr>
          <w:sz w:val="28"/>
          <w:szCs w:val="28"/>
        </w:rPr>
        <w:t>СМП</w:t>
      </w:r>
      <w:proofErr w:type="spellEnd"/>
      <w:r w:rsidRPr="00EB4D14">
        <w:rPr>
          <w:sz w:val="28"/>
          <w:szCs w:val="28"/>
        </w:rPr>
        <w:t>) осуществляется в виде передачи во владение или пользование муниципального имущества в соответствии с утвержденными перечнями. Перечень муниципального имущества МО ГО "Сыктывкар"</w:t>
      </w:r>
      <w:r w:rsidR="006356E6">
        <w:rPr>
          <w:sz w:val="28"/>
          <w:szCs w:val="28"/>
        </w:rPr>
        <w:t>, предназначенного для передачи</w:t>
      </w:r>
      <w:r w:rsidR="00F5414B">
        <w:rPr>
          <w:sz w:val="28"/>
          <w:szCs w:val="28"/>
        </w:rPr>
        <w:t xml:space="preserve"> </w:t>
      </w:r>
      <w:r w:rsidR="001307B3" w:rsidRPr="00EB4D14">
        <w:rPr>
          <w:sz w:val="28"/>
          <w:szCs w:val="28"/>
        </w:rPr>
        <w:t xml:space="preserve">субъектам </w:t>
      </w:r>
      <w:proofErr w:type="spellStart"/>
      <w:r w:rsidR="001307B3" w:rsidRPr="00EB4D14">
        <w:rPr>
          <w:sz w:val="28"/>
          <w:szCs w:val="28"/>
        </w:rPr>
        <w:t>СМП</w:t>
      </w:r>
      <w:proofErr w:type="spellEnd"/>
      <w:r w:rsidRPr="00EB4D14">
        <w:rPr>
          <w:sz w:val="28"/>
          <w:szCs w:val="28"/>
        </w:rPr>
        <w:t xml:space="preserve">, утвержден постановлением администрации МО ГО "Сыктывкар" от 06.05.2010 № 5/2146 (далее – Перечень поддержки </w:t>
      </w:r>
      <w:proofErr w:type="spellStart"/>
      <w:r w:rsidRPr="00EB4D14">
        <w:rPr>
          <w:sz w:val="28"/>
          <w:szCs w:val="28"/>
        </w:rPr>
        <w:t>СМП</w:t>
      </w:r>
      <w:proofErr w:type="spellEnd"/>
      <w:r w:rsidRPr="00EB4D14">
        <w:rPr>
          <w:sz w:val="28"/>
          <w:szCs w:val="28"/>
        </w:rPr>
        <w:t>, Перечень).</w:t>
      </w:r>
    </w:p>
    <w:p w:rsidR="00A11F17" w:rsidRPr="00EB4D14" w:rsidRDefault="00A11F17" w:rsidP="00C31071">
      <w:pPr>
        <w:ind w:firstLine="425"/>
        <w:jc w:val="both"/>
        <w:rPr>
          <w:sz w:val="28"/>
          <w:szCs w:val="28"/>
        </w:rPr>
      </w:pPr>
      <w:r w:rsidRPr="00EB4D14">
        <w:rPr>
          <w:sz w:val="28"/>
          <w:szCs w:val="28"/>
        </w:rPr>
        <w:t>С момента утверждения Перечня в него внесено 38 изменений. Общее количество объектов муниципального имущества увеличилось более чем в 6 раз (с 8 до 53), площадь помещений увеличилась более чем в 5 раз (с 1244,4 кв.м. до 6844,5 кв.м.). При этом, редакцией Перечня от 27.11.2017 осуществлено разделение 4 объектов (помещений), в результате чего количество объектов в Перечне увеличилось на 6 (с 4 до 10) при сохранении общей суммы площадей. В 7 случаях объекты находились в Перечне от 1 до 9 месяцев. В 3 случаях объекты повторно включались в Перечень после исключения.</w:t>
      </w:r>
    </w:p>
    <w:p w:rsidR="00A11F17" w:rsidRPr="00EB4D14" w:rsidRDefault="00A11F17" w:rsidP="00C31071">
      <w:pPr>
        <w:ind w:firstLine="425"/>
        <w:jc w:val="both"/>
        <w:rPr>
          <w:sz w:val="28"/>
          <w:szCs w:val="28"/>
        </w:rPr>
      </w:pPr>
      <w:r w:rsidRPr="00EB4D14">
        <w:rPr>
          <w:sz w:val="28"/>
          <w:szCs w:val="28"/>
        </w:rPr>
        <w:t xml:space="preserve">В действующих договорах аренды, а также в утвержденном Порядке предоставления в аренду имущества МО ГО "Сыктывкар", включенного в Перечень поддержки </w:t>
      </w:r>
      <w:proofErr w:type="spellStart"/>
      <w:r w:rsidRPr="00EB4D14">
        <w:rPr>
          <w:sz w:val="28"/>
          <w:szCs w:val="28"/>
        </w:rPr>
        <w:t>СМП</w:t>
      </w:r>
      <w:proofErr w:type="spellEnd"/>
      <w:r w:rsidRPr="00EB4D14">
        <w:rPr>
          <w:sz w:val="28"/>
          <w:szCs w:val="28"/>
        </w:rPr>
        <w:t xml:space="preserve">, утвержденном приложением 5 к подпрограмме 2 муниципальной программы МО ГО "Сыктывкар" "Малое и среднее предпринимательство", утвержденной постановлением администрации МО ГО "Сыктывкар" от 30.12.2019 № 12/3912 (далее – Порядок) отсутствует условие о расторжении договора в случае утраты арендатором статуса субъекта </w:t>
      </w:r>
      <w:proofErr w:type="spellStart"/>
      <w:r w:rsidRPr="00EB4D14">
        <w:rPr>
          <w:sz w:val="28"/>
          <w:szCs w:val="28"/>
        </w:rPr>
        <w:t>СМП</w:t>
      </w:r>
      <w:proofErr w:type="spellEnd"/>
      <w:r w:rsidRPr="00EB4D14">
        <w:rPr>
          <w:sz w:val="28"/>
          <w:szCs w:val="28"/>
        </w:rPr>
        <w:t>.</w:t>
      </w:r>
    </w:p>
    <w:p w:rsidR="00A11F17" w:rsidRPr="00EB4D14" w:rsidRDefault="00A11F17" w:rsidP="00C31071">
      <w:pPr>
        <w:ind w:firstLine="425"/>
        <w:jc w:val="both"/>
        <w:rPr>
          <w:sz w:val="28"/>
          <w:szCs w:val="28"/>
        </w:rPr>
      </w:pPr>
      <w:r w:rsidRPr="00EB4D14">
        <w:rPr>
          <w:sz w:val="28"/>
          <w:szCs w:val="28"/>
        </w:rPr>
        <w:t xml:space="preserve">Площадь помещений, преданных Комитетом по договору аренды, не соответствует площади, отраженной в соответствующей позиции Перечня поддержки </w:t>
      </w:r>
      <w:proofErr w:type="spellStart"/>
      <w:r w:rsidRPr="00EB4D14">
        <w:rPr>
          <w:sz w:val="28"/>
          <w:szCs w:val="28"/>
        </w:rPr>
        <w:t>СМП</w:t>
      </w:r>
      <w:proofErr w:type="spellEnd"/>
      <w:r w:rsidRPr="00EB4D14">
        <w:rPr>
          <w:sz w:val="28"/>
          <w:szCs w:val="28"/>
        </w:rPr>
        <w:t>. Неиспользование помещения площадью 13 кв.м. влечет потери неналоговых доходов муниципального бюджета в размере 99,3 тыс. рублей (расчетно).</w:t>
      </w:r>
    </w:p>
    <w:p w:rsidR="00C31071" w:rsidRDefault="00A11F17" w:rsidP="00C31071">
      <w:pPr>
        <w:ind w:firstLine="425"/>
        <w:jc w:val="both"/>
        <w:rPr>
          <w:sz w:val="28"/>
          <w:szCs w:val="28"/>
        </w:rPr>
      </w:pPr>
      <w:r w:rsidRPr="00EB4D14">
        <w:rPr>
          <w:sz w:val="28"/>
          <w:szCs w:val="28"/>
        </w:rPr>
        <w:t xml:space="preserve">В трех случаях Комитетом заключены несколько договоров аренды с одним субъектом </w:t>
      </w:r>
      <w:proofErr w:type="spellStart"/>
      <w:r w:rsidRPr="00EB4D14">
        <w:rPr>
          <w:sz w:val="28"/>
          <w:szCs w:val="28"/>
        </w:rPr>
        <w:t>СМП</w:t>
      </w:r>
      <w:proofErr w:type="spellEnd"/>
      <w:r w:rsidRPr="00EB4D14">
        <w:rPr>
          <w:sz w:val="28"/>
          <w:szCs w:val="28"/>
        </w:rPr>
        <w:t>, что является нарушением подпункта 4 пункта 3 указанного выше Порядка.</w:t>
      </w:r>
    </w:p>
    <w:p w:rsidR="00C31071" w:rsidRDefault="00C31071">
      <w:pPr>
        <w:widowControl/>
        <w:autoSpaceDE/>
        <w:autoSpaceDN/>
        <w:adjustRightInd/>
        <w:rPr>
          <w:sz w:val="28"/>
          <w:szCs w:val="28"/>
        </w:rPr>
      </w:pPr>
      <w:r>
        <w:rPr>
          <w:sz w:val="28"/>
          <w:szCs w:val="28"/>
        </w:rPr>
        <w:br w:type="page"/>
      </w:r>
    </w:p>
    <w:p w:rsidR="00A11F17" w:rsidRPr="00EB4D14" w:rsidRDefault="00A11F17" w:rsidP="00EB4D14">
      <w:pPr>
        <w:pStyle w:val="af4"/>
        <w:spacing w:before="120"/>
        <w:ind w:left="-57" w:right="-57"/>
        <w:jc w:val="both"/>
        <w:rPr>
          <w:iCs/>
          <w:sz w:val="28"/>
          <w:szCs w:val="28"/>
          <w:u w:val="single"/>
        </w:rPr>
      </w:pPr>
      <w:r w:rsidRPr="00EB4D14">
        <w:rPr>
          <w:iCs/>
          <w:sz w:val="28"/>
          <w:szCs w:val="28"/>
          <w:u w:val="single"/>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p w:rsidR="00A11F17" w:rsidRPr="00EB4D14" w:rsidRDefault="00A11F17" w:rsidP="00C31071">
      <w:pPr>
        <w:ind w:firstLine="426"/>
        <w:jc w:val="both"/>
        <w:rPr>
          <w:sz w:val="28"/>
          <w:szCs w:val="28"/>
        </w:rPr>
      </w:pPr>
      <w:r w:rsidRPr="00EB4D14">
        <w:rPr>
          <w:sz w:val="28"/>
          <w:szCs w:val="28"/>
        </w:rPr>
        <w:t>По итогам работы за 2019 год 6 из 10 муниципальных предприятий не планировали получить чистую прибыль. В 2020 году в муниципальный бюджет поступили доходы от 4 из 10 действующих предприятий в общей сумме 1 299,7 тыс. рублей.</w:t>
      </w:r>
    </w:p>
    <w:p w:rsidR="00A11F17" w:rsidRPr="00EB4D14" w:rsidRDefault="00A11F17" w:rsidP="00EB4D14">
      <w:pPr>
        <w:pStyle w:val="af4"/>
        <w:spacing w:before="120"/>
        <w:ind w:left="-57" w:right="-57"/>
        <w:jc w:val="both"/>
        <w:rPr>
          <w:iCs/>
          <w:sz w:val="28"/>
          <w:szCs w:val="28"/>
          <w:u w:val="single"/>
        </w:rPr>
      </w:pPr>
      <w:r w:rsidRPr="00EB4D14">
        <w:rPr>
          <w:iCs/>
          <w:sz w:val="28"/>
          <w:szCs w:val="28"/>
          <w:u w:val="single"/>
        </w:rPr>
        <w:t>Прочие поступления от использования имущества (доходы от платы за наем муниципальных жилых помещений)</w:t>
      </w:r>
    </w:p>
    <w:p w:rsidR="00A11F17" w:rsidRPr="00EB4D14" w:rsidRDefault="00A11F17" w:rsidP="00C31071">
      <w:pPr>
        <w:ind w:firstLine="425"/>
        <w:jc w:val="both"/>
        <w:rPr>
          <w:sz w:val="28"/>
          <w:szCs w:val="28"/>
        </w:rPr>
      </w:pPr>
      <w:r w:rsidRPr="00EB4D14">
        <w:rPr>
          <w:sz w:val="28"/>
          <w:szCs w:val="28"/>
        </w:rPr>
        <w:t>Установлены замечания в части непредставления материалов АО "Расчетный центр" о ведении претензионно-исковой работы, предусмотренных условиями муниципального контракта.</w:t>
      </w:r>
    </w:p>
    <w:p w:rsidR="00A11F17" w:rsidRPr="00EB4D14" w:rsidRDefault="00A11F17" w:rsidP="00C31071">
      <w:pPr>
        <w:ind w:firstLine="425"/>
        <w:jc w:val="both"/>
        <w:rPr>
          <w:sz w:val="28"/>
          <w:szCs w:val="28"/>
        </w:rPr>
      </w:pPr>
      <w:r w:rsidRPr="00EB4D14">
        <w:rPr>
          <w:sz w:val="28"/>
          <w:szCs w:val="28"/>
        </w:rPr>
        <w:t>В нарушение требований статьи 13 Федерального закона от 06.12.2011 №</w:t>
      </w:r>
      <w:r w:rsidR="00C31071">
        <w:rPr>
          <w:sz w:val="28"/>
          <w:szCs w:val="28"/>
        </w:rPr>
        <w:t> </w:t>
      </w:r>
      <w:r w:rsidRPr="00EB4D14">
        <w:rPr>
          <w:sz w:val="28"/>
          <w:szCs w:val="28"/>
        </w:rPr>
        <w:t>402-ФЗ "О бухгалтерском учете" Администрацией Эжвинского района не отражены в бухгалтерской отчетности суммы задолженности населения за наем жилых помещений.</w:t>
      </w:r>
    </w:p>
    <w:p w:rsidR="00A11F17" w:rsidRPr="00EB4D14" w:rsidRDefault="00A11F17" w:rsidP="00C31071">
      <w:pPr>
        <w:ind w:firstLine="425"/>
        <w:jc w:val="both"/>
        <w:rPr>
          <w:sz w:val="28"/>
          <w:szCs w:val="28"/>
        </w:rPr>
      </w:pPr>
      <w:r w:rsidRPr="00EB4D14">
        <w:rPr>
          <w:sz w:val="28"/>
          <w:szCs w:val="28"/>
        </w:rPr>
        <w:t>В нарушение требований подпунктов "в" и "г" пункта 3.1 Порядка осуществления органами местного самоуправления… бюджетных полномочий главных администраторов доходов бюджета МО ГО "Сыктывкар", утвержденного постановлением главы администрации МО ГО "Сык</w:t>
      </w:r>
      <w:r w:rsidR="006356E6">
        <w:rPr>
          <w:sz w:val="28"/>
          <w:szCs w:val="28"/>
        </w:rPr>
        <w:t>тывкар" от 24.12.2008 № 12/5040</w:t>
      </w:r>
      <w:r w:rsidRPr="00EB4D14">
        <w:rPr>
          <w:sz w:val="28"/>
          <w:szCs w:val="28"/>
        </w:rPr>
        <w:t xml:space="preserve">, информация об администрируемом доходе </w:t>
      </w:r>
      <w:r w:rsidR="00EB4D14" w:rsidRPr="00EB4D14">
        <w:rPr>
          <w:sz w:val="28"/>
          <w:szCs w:val="28"/>
        </w:rPr>
        <w:t>"</w:t>
      </w:r>
      <w:r w:rsidRPr="00EB4D14">
        <w:rPr>
          <w:sz w:val="28"/>
          <w:szCs w:val="28"/>
        </w:rPr>
        <w:t>плата за нае</w:t>
      </w:r>
      <w:r w:rsidR="00EB4D14" w:rsidRPr="00EB4D14">
        <w:rPr>
          <w:sz w:val="28"/>
          <w:szCs w:val="28"/>
        </w:rPr>
        <w:t>м муниципальных жилых помещений"</w:t>
      </w:r>
      <w:r w:rsidRPr="00EB4D14">
        <w:rPr>
          <w:sz w:val="28"/>
          <w:szCs w:val="28"/>
        </w:rPr>
        <w:t xml:space="preserve"> не включена главными администраторами в состав отчетности, представляемой в финансовый орган.</w:t>
      </w:r>
    </w:p>
    <w:p w:rsidR="00A11F17" w:rsidRPr="00EB4D14" w:rsidRDefault="00A11F17" w:rsidP="00EB4D14">
      <w:pPr>
        <w:pStyle w:val="af4"/>
        <w:spacing w:before="120"/>
        <w:ind w:left="-57" w:right="-57"/>
        <w:jc w:val="both"/>
        <w:rPr>
          <w:iCs/>
          <w:sz w:val="28"/>
          <w:szCs w:val="28"/>
          <w:u w:val="single"/>
        </w:rPr>
      </w:pPr>
      <w:r w:rsidRPr="00EB4D14">
        <w:rPr>
          <w:iCs/>
          <w:sz w:val="28"/>
          <w:szCs w:val="28"/>
          <w:u w:val="single"/>
        </w:rPr>
        <w:t>Прочие поступления от использования имущества (доходы от предоставления мест под установку и эксплуатацию рекламных конструкций на недвижимом муниципальном имуществе)</w:t>
      </w:r>
    </w:p>
    <w:p w:rsidR="00A11F17" w:rsidRPr="00EB4D14" w:rsidRDefault="00A11F17" w:rsidP="00C31071">
      <w:pPr>
        <w:ind w:firstLine="425"/>
        <w:jc w:val="both"/>
        <w:rPr>
          <w:sz w:val="28"/>
          <w:szCs w:val="28"/>
        </w:rPr>
      </w:pPr>
      <w:r w:rsidRPr="00EB4D14">
        <w:rPr>
          <w:sz w:val="28"/>
          <w:szCs w:val="28"/>
        </w:rPr>
        <w:t>Администрацией Эжвинского района прогнозные поступления по действующим договорам на общую сумму 864,6 тыс. рублей не были включены в проект решения о бюджете на 2020 год, а также не были откорректированы в течение 2020 года, что не соответствует принципу полноты отражения доходов, установленного статьей 32 Бюджетного Кодекса РФ.</w:t>
      </w:r>
    </w:p>
    <w:p w:rsidR="00A11F17" w:rsidRPr="00EB4D14" w:rsidRDefault="00A11F17" w:rsidP="00EB4D14">
      <w:pPr>
        <w:pStyle w:val="af4"/>
        <w:spacing w:before="120"/>
        <w:ind w:left="-57" w:right="-57"/>
        <w:jc w:val="both"/>
        <w:rPr>
          <w:iCs/>
          <w:sz w:val="28"/>
          <w:szCs w:val="28"/>
          <w:u w:val="single"/>
        </w:rPr>
      </w:pPr>
      <w:r w:rsidRPr="00EB4D14">
        <w:rPr>
          <w:iCs/>
          <w:sz w:val="28"/>
          <w:szCs w:val="28"/>
          <w:u w:val="single"/>
        </w:rPr>
        <w:t>Доходы от продажи квартир, находящихся в собственности городских округов</w:t>
      </w:r>
    </w:p>
    <w:p w:rsidR="00A11F17" w:rsidRPr="00EB4D14" w:rsidRDefault="00A11F17" w:rsidP="00C31071">
      <w:pPr>
        <w:ind w:firstLine="426"/>
        <w:jc w:val="both"/>
        <w:rPr>
          <w:sz w:val="28"/>
          <w:szCs w:val="28"/>
        </w:rPr>
      </w:pPr>
      <w:r w:rsidRPr="00EB4D14">
        <w:rPr>
          <w:sz w:val="28"/>
          <w:szCs w:val="28"/>
        </w:rPr>
        <w:t>Во исполнение трех решений суда прекращено право собственности МО ГО "Сыктывкар" на доли в праве общей долевой собственности на индивидуальные жилые дома с выплатой собственниками помещений компенсации в общем объеме 415,5 тыс. рублей.</w:t>
      </w:r>
    </w:p>
    <w:p w:rsidR="00A11F17" w:rsidRPr="00EB4D14" w:rsidRDefault="00A11F17" w:rsidP="00C31071">
      <w:pPr>
        <w:ind w:firstLine="425"/>
        <w:jc w:val="both"/>
        <w:rPr>
          <w:sz w:val="28"/>
          <w:szCs w:val="28"/>
        </w:rPr>
      </w:pPr>
      <w:r w:rsidRPr="00EB4D14">
        <w:rPr>
          <w:sz w:val="28"/>
          <w:szCs w:val="28"/>
        </w:rPr>
        <w:t>В реестре муниципального имущества числится 8 объектов, представляющих собой доли в праве на жилые помещения, которые не могут быть использованы в целях обеспечения муниципальных нужд.</w:t>
      </w:r>
    </w:p>
    <w:p w:rsidR="00A11F17" w:rsidRPr="00EB4D14" w:rsidRDefault="00A11F17" w:rsidP="00EB4D14">
      <w:pPr>
        <w:pStyle w:val="af4"/>
        <w:spacing w:before="120"/>
        <w:ind w:left="-57" w:right="-57"/>
        <w:jc w:val="both"/>
        <w:rPr>
          <w:iCs/>
          <w:sz w:val="28"/>
          <w:szCs w:val="28"/>
          <w:u w:val="single"/>
        </w:rPr>
      </w:pPr>
      <w:r w:rsidRPr="00EB4D14">
        <w:rPr>
          <w:iCs/>
          <w:sz w:val="28"/>
          <w:szCs w:val="28"/>
          <w:u w:val="single"/>
        </w:rPr>
        <w:t>Доходы от реализации иного имущества (доходы от приватизации муниципального имущества)</w:t>
      </w:r>
    </w:p>
    <w:p w:rsidR="00C31071" w:rsidRDefault="00A11F17" w:rsidP="00C31071">
      <w:pPr>
        <w:ind w:firstLine="426"/>
        <w:jc w:val="both"/>
        <w:rPr>
          <w:sz w:val="28"/>
          <w:szCs w:val="28"/>
        </w:rPr>
      </w:pPr>
      <w:r w:rsidRPr="00EB4D14">
        <w:rPr>
          <w:sz w:val="28"/>
          <w:szCs w:val="28"/>
        </w:rPr>
        <w:t>В 2020 году объекты, включенные в план приватизации, не реализованы, доходы от приватизации муниципального имущества в бюджет МО ГО "Сыктывкар" не поступали.</w:t>
      </w:r>
    </w:p>
    <w:p w:rsidR="00C31071" w:rsidRDefault="00C31071">
      <w:pPr>
        <w:widowControl/>
        <w:autoSpaceDE/>
        <w:autoSpaceDN/>
        <w:adjustRightInd/>
        <w:rPr>
          <w:sz w:val="28"/>
          <w:szCs w:val="28"/>
        </w:rPr>
      </w:pPr>
      <w:r>
        <w:rPr>
          <w:sz w:val="28"/>
          <w:szCs w:val="28"/>
        </w:rPr>
        <w:br w:type="page"/>
      </w:r>
    </w:p>
    <w:p w:rsidR="00A11F17" w:rsidRPr="00EB4D14" w:rsidRDefault="00A11F17" w:rsidP="00EB4D14">
      <w:pPr>
        <w:pStyle w:val="af4"/>
        <w:spacing w:before="120"/>
        <w:ind w:left="-57" w:right="-57"/>
        <w:jc w:val="both"/>
        <w:rPr>
          <w:iCs/>
          <w:sz w:val="28"/>
          <w:szCs w:val="28"/>
          <w:u w:val="single"/>
        </w:rPr>
      </w:pPr>
      <w:r w:rsidRPr="00EB4D14">
        <w:rPr>
          <w:iCs/>
          <w:sz w:val="28"/>
          <w:szCs w:val="28"/>
          <w:u w:val="single"/>
        </w:rPr>
        <w:lastRenderedPageBreak/>
        <w:t xml:space="preserve">Доходы от реализации иного имущества (доходы от реализации субъектами </w:t>
      </w:r>
      <w:proofErr w:type="spellStart"/>
      <w:r w:rsidR="00EB4D14" w:rsidRPr="00EB4D14">
        <w:rPr>
          <w:iCs/>
          <w:sz w:val="28"/>
          <w:szCs w:val="28"/>
          <w:u w:val="single"/>
        </w:rPr>
        <w:t>СМП</w:t>
      </w:r>
      <w:proofErr w:type="spellEnd"/>
      <w:r w:rsidRPr="00EB4D14">
        <w:rPr>
          <w:iCs/>
          <w:sz w:val="28"/>
          <w:szCs w:val="28"/>
          <w:u w:val="single"/>
        </w:rPr>
        <w:t xml:space="preserve"> преимущественного права на выкуп арендуемого имущества)</w:t>
      </w:r>
    </w:p>
    <w:p w:rsidR="00A11F17" w:rsidRPr="00EB4D14" w:rsidRDefault="00A11F17" w:rsidP="00C31071">
      <w:pPr>
        <w:ind w:firstLine="425"/>
        <w:jc w:val="both"/>
        <w:rPr>
          <w:sz w:val="28"/>
          <w:szCs w:val="28"/>
        </w:rPr>
      </w:pPr>
      <w:r w:rsidRPr="00EB4D14">
        <w:rPr>
          <w:sz w:val="28"/>
          <w:szCs w:val="28"/>
        </w:rPr>
        <w:t xml:space="preserve">В нарушение принципа полноты отражения доходов, установленного статьей 32 Бюджетного Кодекса РФ, Администрацией Эжвинского района не были приняты меры по увеличению плановых показателей на общую сумму 2 232,8 тыс. </w:t>
      </w:r>
      <w:r w:rsidR="00F5414B" w:rsidRPr="00EB4D14">
        <w:rPr>
          <w:sz w:val="28"/>
          <w:szCs w:val="28"/>
        </w:rPr>
        <w:t>рублей,</w:t>
      </w:r>
      <w:r w:rsidRPr="00EB4D14">
        <w:rPr>
          <w:sz w:val="28"/>
          <w:szCs w:val="28"/>
        </w:rPr>
        <w:t xml:space="preserve"> </w:t>
      </w:r>
      <w:r w:rsidR="00F5414B">
        <w:rPr>
          <w:sz w:val="28"/>
          <w:szCs w:val="28"/>
        </w:rPr>
        <w:t>не смотря на заключение</w:t>
      </w:r>
      <w:r w:rsidRPr="00EB4D14">
        <w:rPr>
          <w:sz w:val="28"/>
          <w:szCs w:val="28"/>
        </w:rPr>
        <w:t xml:space="preserve"> двух новых договоров.</w:t>
      </w:r>
    </w:p>
    <w:p w:rsidR="00A11F17" w:rsidRPr="00EB4D14" w:rsidRDefault="00A11F17" w:rsidP="00EB4D14">
      <w:pPr>
        <w:pStyle w:val="af4"/>
        <w:spacing w:before="120"/>
        <w:ind w:left="-57" w:right="-57"/>
        <w:jc w:val="both"/>
        <w:rPr>
          <w:iCs/>
          <w:sz w:val="28"/>
          <w:szCs w:val="28"/>
          <w:u w:val="single"/>
        </w:rPr>
      </w:pPr>
      <w:r w:rsidRPr="00EB4D14">
        <w:rPr>
          <w:iCs/>
          <w:sz w:val="28"/>
          <w:szCs w:val="28"/>
          <w:u w:val="single"/>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rsidR="00A11F17" w:rsidRPr="00EB4D14" w:rsidRDefault="00A11F17" w:rsidP="00C31071">
      <w:pPr>
        <w:ind w:firstLine="425"/>
        <w:jc w:val="both"/>
        <w:rPr>
          <w:sz w:val="28"/>
          <w:szCs w:val="28"/>
        </w:rPr>
      </w:pPr>
      <w:r w:rsidRPr="00EB4D14">
        <w:rPr>
          <w:sz w:val="28"/>
          <w:szCs w:val="28"/>
        </w:rPr>
        <w:t>В нарушение принципа полноты отражения доходов, установленного статьей 32 Бюджетного Кодекса РФ, Администрацией Эжвинского района не были приняты меры по увеличению планов</w:t>
      </w:r>
      <w:r w:rsidR="003062E7">
        <w:rPr>
          <w:sz w:val="28"/>
          <w:szCs w:val="28"/>
        </w:rPr>
        <w:t>ых показателей на общую сумму 1 </w:t>
      </w:r>
      <w:r w:rsidRPr="00EB4D14">
        <w:rPr>
          <w:sz w:val="28"/>
          <w:szCs w:val="28"/>
        </w:rPr>
        <w:t>086,7 тыс. рублей в связи с заключением 6 новых договоров.</w:t>
      </w:r>
    </w:p>
    <w:p w:rsidR="00A11F17" w:rsidRPr="00EB4D14" w:rsidRDefault="00A11F17" w:rsidP="00EB4D14">
      <w:pPr>
        <w:pStyle w:val="af4"/>
        <w:spacing w:before="120"/>
        <w:ind w:left="-57" w:right="-57"/>
        <w:jc w:val="both"/>
        <w:rPr>
          <w:iCs/>
          <w:sz w:val="28"/>
          <w:szCs w:val="28"/>
          <w:u w:val="single"/>
        </w:rPr>
      </w:pPr>
      <w:r w:rsidRPr="00EB4D14">
        <w:rPr>
          <w:iCs/>
          <w:sz w:val="28"/>
          <w:szCs w:val="28"/>
          <w:u w:val="single"/>
        </w:rPr>
        <w:t>Проверка законности и эффективности осуществления расходов, связанных с управлением муниципальным имуществом</w:t>
      </w:r>
    </w:p>
    <w:p w:rsidR="00A11F17" w:rsidRPr="00EB4D14" w:rsidRDefault="00A11F17" w:rsidP="003062E7">
      <w:pPr>
        <w:ind w:firstLine="426"/>
        <w:jc w:val="both"/>
        <w:rPr>
          <w:sz w:val="28"/>
          <w:szCs w:val="28"/>
        </w:rPr>
      </w:pPr>
      <w:r w:rsidRPr="00EB4D14">
        <w:rPr>
          <w:sz w:val="28"/>
          <w:szCs w:val="28"/>
        </w:rPr>
        <w:t>Реализация мероприятий, связанных с управлением муниципальным имуществом, осуществлялась администраторами доходов в 2020 году в рамках муниципальных программ и непрограммных направлений деятельности.</w:t>
      </w:r>
    </w:p>
    <w:p w:rsidR="00A11F17" w:rsidRPr="00EB4D14" w:rsidRDefault="00A11F17" w:rsidP="00C31071">
      <w:pPr>
        <w:ind w:firstLine="425"/>
        <w:jc w:val="both"/>
        <w:rPr>
          <w:sz w:val="28"/>
          <w:szCs w:val="28"/>
        </w:rPr>
      </w:pPr>
      <w:r w:rsidRPr="00EB4D14">
        <w:rPr>
          <w:sz w:val="28"/>
          <w:szCs w:val="28"/>
        </w:rPr>
        <w:t>Уплата Администрацией Эжвинского района госпошлины за регистрацию транспортного средства в сумме 2,5 тыс. рублей не соотносится с подпунктом 4 пункта 1 статьи 333.35 Налогового кодекса РФ и принципом эффективности использования бюджетных средств, установленным статьей 34 Бюджетного кодекса РФ. В период проведения проверки Администрацией Эжвинского района приняты меры для возврата излишне уплаченной госпошлины.</w:t>
      </w:r>
    </w:p>
    <w:p w:rsidR="00A11F17" w:rsidRPr="006356E6" w:rsidRDefault="00A11F17" w:rsidP="00EB4D14">
      <w:pPr>
        <w:pStyle w:val="af4"/>
        <w:spacing w:before="120"/>
        <w:ind w:left="-57" w:right="-57"/>
        <w:jc w:val="both"/>
        <w:rPr>
          <w:i/>
          <w:iCs/>
          <w:sz w:val="28"/>
          <w:szCs w:val="28"/>
          <w:u w:val="single"/>
        </w:rPr>
      </w:pPr>
      <w:r w:rsidRPr="006356E6">
        <w:rPr>
          <w:i/>
          <w:iCs/>
          <w:sz w:val="28"/>
          <w:szCs w:val="28"/>
          <w:u w:val="single"/>
        </w:rPr>
        <w:t>Аудит в сфере закупок</w:t>
      </w:r>
    </w:p>
    <w:p w:rsidR="00A11F17" w:rsidRPr="006356E6" w:rsidRDefault="00A11F17" w:rsidP="00C31071">
      <w:pPr>
        <w:ind w:firstLine="425"/>
        <w:jc w:val="both"/>
        <w:rPr>
          <w:sz w:val="28"/>
          <w:szCs w:val="28"/>
        </w:rPr>
      </w:pPr>
      <w:r w:rsidRPr="006356E6">
        <w:rPr>
          <w:sz w:val="28"/>
          <w:szCs w:val="28"/>
        </w:rPr>
        <w:t>В нарушение подпункта "д" пункта 16 Порядка формирования, утве</w:t>
      </w:r>
      <w:r w:rsidR="00F5414B">
        <w:rPr>
          <w:sz w:val="28"/>
          <w:szCs w:val="28"/>
        </w:rPr>
        <w:t>рждения планов-графиков закупок</w:t>
      </w:r>
      <w:bookmarkStart w:id="0" w:name="_GoBack"/>
      <w:bookmarkEnd w:id="0"/>
      <w:r w:rsidRPr="006356E6">
        <w:rPr>
          <w:sz w:val="28"/>
          <w:szCs w:val="28"/>
        </w:rPr>
        <w:t>, утвержденного постановлением Правительства РФ от 30.09.2019 № 1279, фактические объемы закупок, осуществленные Комитетом в 2020 году, превышают плановые объемы финансирования, отраженные в плане-г</w:t>
      </w:r>
      <w:r w:rsidR="005400D9">
        <w:rPr>
          <w:sz w:val="28"/>
          <w:szCs w:val="28"/>
        </w:rPr>
        <w:t>рафике закупок на 2020 год</w:t>
      </w:r>
      <w:r w:rsidRPr="006356E6">
        <w:rPr>
          <w:sz w:val="28"/>
          <w:szCs w:val="28"/>
        </w:rPr>
        <w:t>.</w:t>
      </w:r>
    </w:p>
    <w:p w:rsidR="00A11F17" w:rsidRPr="006356E6" w:rsidRDefault="00A11F17" w:rsidP="00C31071">
      <w:pPr>
        <w:ind w:firstLine="425"/>
        <w:jc w:val="both"/>
        <w:rPr>
          <w:sz w:val="28"/>
          <w:szCs w:val="28"/>
        </w:rPr>
      </w:pPr>
      <w:r w:rsidRPr="006356E6">
        <w:rPr>
          <w:sz w:val="28"/>
          <w:szCs w:val="28"/>
        </w:rPr>
        <w:t>В нарушение части 1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Комитетом заключены договоры на общую сумму 180,0 тыс. рублей, не включенные в план-график закупок</w:t>
      </w:r>
      <w:r w:rsidR="005400D9">
        <w:rPr>
          <w:sz w:val="28"/>
          <w:szCs w:val="28"/>
        </w:rPr>
        <w:t xml:space="preserve"> на 2020 год</w:t>
      </w:r>
      <w:r w:rsidRPr="006356E6">
        <w:rPr>
          <w:sz w:val="28"/>
          <w:szCs w:val="28"/>
        </w:rPr>
        <w:t>.</w:t>
      </w:r>
    </w:p>
    <w:p w:rsidR="00A11F17" w:rsidRPr="006356E6" w:rsidRDefault="00A11F17" w:rsidP="00C31071">
      <w:pPr>
        <w:ind w:firstLine="425"/>
        <w:jc w:val="both"/>
        <w:rPr>
          <w:sz w:val="28"/>
          <w:szCs w:val="28"/>
        </w:rPr>
      </w:pPr>
      <w:r w:rsidRPr="006356E6">
        <w:rPr>
          <w:sz w:val="28"/>
          <w:szCs w:val="28"/>
        </w:rPr>
        <w:t>Установлено два факта нарушения Комитетом части 7.1 статьи 94 Федерального закона № 44-ФЗ, в части осуществления приемки работ в отсутствие обеспечения гарантийных обязательств, предусмотренных условиями муниципальных контрактов.</w:t>
      </w:r>
    </w:p>
    <w:p w:rsidR="00A11F17" w:rsidRPr="006356E6" w:rsidRDefault="00A11F17" w:rsidP="00C31071">
      <w:pPr>
        <w:ind w:firstLine="425"/>
        <w:jc w:val="both"/>
        <w:rPr>
          <w:sz w:val="28"/>
          <w:szCs w:val="28"/>
        </w:rPr>
      </w:pPr>
      <w:r w:rsidRPr="006356E6">
        <w:rPr>
          <w:sz w:val="28"/>
          <w:szCs w:val="28"/>
        </w:rPr>
        <w:t>Установлено 19 фактов нарушения Комитетом частей 2, 3 статьи 103 Федерального закона № 44-ФЗ, в части сроков размещения в Единой информационной системе в сфере закупок информации об исполнении муниципальных контрактов.</w:t>
      </w:r>
    </w:p>
    <w:p w:rsidR="00A11F17" w:rsidRPr="006356E6" w:rsidRDefault="00A11F17" w:rsidP="00C31071">
      <w:pPr>
        <w:ind w:firstLine="425"/>
        <w:jc w:val="both"/>
        <w:rPr>
          <w:sz w:val="28"/>
          <w:szCs w:val="28"/>
        </w:rPr>
      </w:pPr>
      <w:r w:rsidRPr="006356E6">
        <w:rPr>
          <w:sz w:val="28"/>
          <w:szCs w:val="28"/>
        </w:rPr>
        <w:t>Существенное снижение цены по результатам проведенных торгов свидетельствует о необходимости проведения администраторами доходов аналитической работы при формировании начально</w:t>
      </w:r>
      <w:r w:rsidR="005400D9">
        <w:rPr>
          <w:sz w:val="28"/>
          <w:szCs w:val="28"/>
        </w:rPr>
        <w:t>й (максимальной) цены контракта</w:t>
      </w:r>
      <w:r w:rsidRPr="006356E6">
        <w:rPr>
          <w:sz w:val="28"/>
          <w:szCs w:val="28"/>
        </w:rPr>
        <w:t>.</w:t>
      </w:r>
    </w:p>
    <w:p w:rsidR="00A11F17" w:rsidRPr="006356E6" w:rsidRDefault="00A11F17" w:rsidP="00C31071">
      <w:pPr>
        <w:ind w:firstLine="425"/>
        <w:jc w:val="both"/>
        <w:rPr>
          <w:sz w:val="28"/>
          <w:szCs w:val="28"/>
        </w:rPr>
      </w:pPr>
      <w:r w:rsidRPr="006356E6">
        <w:rPr>
          <w:sz w:val="28"/>
          <w:szCs w:val="28"/>
        </w:rPr>
        <w:lastRenderedPageBreak/>
        <w:t>Потенциальная экономия бюджетных средств при заключении муниципальных контрактов на проведение оценки не с единственным поставщиком, а по результатам аукционов или с учетом их результатов составляет расчетно 108,1 тыс. рублей.</w:t>
      </w:r>
    </w:p>
    <w:p w:rsidR="00A11F17" w:rsidRPr="006356E6" w:rsidRDefault="00A11F17" w:rsidP="00C31071">
      <w:pPr>
        <w:ind w:firstLine="425"/>
        <w:jc w:val="both"/>
        <w:rPr>
          <w:sz w:val="28"/>
          <w:szCs w:val="28"/>
        </w:rPr>
      </w:pPr>
      <w:r w:rsidRPr="006356E6">
        <w:rPr>
          <w:sz w:val="28"/>
          <w:szCs w:val="28"/>
        </w:rPr>
        <w:t>Установлены иные замечания при осуществлении администраторами доходов закупочной деятельности, в том числе: некорректные формулировки условий контрактов, приемка документов с нарушением установленных сроков, корректировка проектной документации без дальнейшего использования.</w:t>
      </w:r>
    </w:p>
    <w:p w:rsidR="006356E6" w:rsidRDefault="006356E6" w:rsidP="006356E6">
      <w:pPr>
        <w:pStyle w:val="af4"/>
        <w:tabs>
          <w:tab w:val="left" w:pos="317"/>
        </w:tabs>
        <w:ind w:left="-57" w:right="-57"/>
        <w:jc w:val="both"/>
        <w:rPr>
          <w:sz w:val="28"/>
          <w:szCs w:val="28"/>
        </w:rPr>
      </w:pPr>
    </w:p>
    <w:p w:rsidR="006356E6" w:rsidRPr="006356E6" w:rsidRDefault="006356E6" w:rsidP="003062E7">
      <w:pPr>
        <w:pStyle w:val="af4"/>
        <w:tabs>
          <w:tab w:val="left" w:pos="317"/>
        </w:tabs>
        <w:ind w:left="-57" w:right="-57" w:firstLine="483"/>
        <w:jc w:val="both"/>
        <w:rPr>
          <w:sz w:val="28"/>
          <w:szCs w:val="28"/>
        </w:rPr>
      </w:pPr>
      <w:r w:rsidRPr="003036D1">
        <w:rPr>
          <w:sz w:val="28"/>
          <w:szCs w:val="28"/>
        </w:rPr>
        <w:t xml:space="preserve">По итогам </w:t>
      </w:r>
      <w:r>
        <w:rPr>
          <w:sz w:val="28"/>
          <w:szCs w:val="28"/>
        </w:rPr>
        <w:t>проверки</w:t>
      </w:r>
      <w:r w:rsidRPr="003036D1">
        <w:rPr>
          <w:sz w:val="28"/>
          <w:szCs w:val="28"/>
        </w:rPr>
        <w:t xml:space="preserve"> подготовлены предложения по устранению выявленных нарушений и замечаний, в том числе:</w:t>
      </w:r>
    </w:p>
    <w:p w:rsidR="00A11F17" w:rsidRPr="006356E6" w:rsidRDefault="006356E6" w:rsidP="003062E7">
      <w:pPr>
        <w:pStyle w:val="af4"/>
        <w:tabs>
          <w:tab w:val="left" w:pos="317"/>
        </w:tabs>
        <w:ind w:left="-57" w:right="-57" w:firstLine="483"/>
        <w:jc w:val="both"/>
        <w:rPr>
          <w:sz w:val="28"/>
          <w:szCs w:val="28"/>
        </w:rPr>
      </w:pPr>
      <w:r w:rsidRPr="006356E6">
        <w:rPr>
          <w:sz w:val="28"/>
          <w:szCs w:val="28"/>
        </w:rPr>
        <w:t>- </w:t>
      </w:r>
      <w:r w:rsidR="00A11F17" w:rsidRPr="006356E6">
        <w:rPr>
          <w:sz w:val="28"/>
          <w:szCs w:val="28"/>
        </w:rPr>
        <w:t>Откорректировать информацию о муниципальном имуществе, отраженную в реестре муниципального имущества, в соответствии с замечаниями, выявленными в ходе проведения проверки.</w:t>
      </w:r>
    </w:p>
    <w:p w:rsidR="00A11F17" w:rsidRPr="006356E6" w:rsidRDefault="006356E6" w:rsidP="00C31071">
      <w:pPr>
        <w:ind w:firstLine="425"/>
        <w:jc w:val="both"/>
        <w:rPr>
          <w:sz w:val="28"/>
          <w:szCs w:val="28"/>
        </w:rPr>
      </w:pPr>
      <w:r w:rsidRPr="006356E6">
        <w:rPr>
          <w:sz w:val="28"/>
          <w:szCs w:val="28"/>
        </w:rPr>
        <w:t>- </w:t>
      </w:r>
      <w:r w:rsidR="00A11F17" w:rsidRPr="006356E6">
        <w:rPr>
          <w:sz w:val="28"/>
          <w:szCs w:val="28"/>
        </w:rPr>
        <w:t xml:space="preserve">Комитету привести Перечень поддержки </w:t>
      </w:r>
      <w:proofErr w:type="spellStart"/>
      <w:r w:rsidR="00A11F17" w:rsidRPr="006356E6">
        <w:rPr>
          <w:sz w:val="28"/>
          <w:szCs w:val="28"/>
        </w:rPr>
        <w:t>СМП</w:t>
      </w:r>
      <w:proofErr w:type="spellEnd"/>
      <w:r w:rsidR="00A11F17" w:rsidRPr="006356E6">
        <w:rPr>
          <w:sz w:val="28"/>
          <w:szCs w:val="28"/>
        </w:rPr>
        <w:t xml:space="preserve"> в соответствие действующему Положению о порядке формирования Перечня.</w:t>
      </w:r>
    </w:p>
    <w:p w:rsidR="00A11F17" w:rsidRPr="006356E6" w:rsidRDefault="006356E6" w:rsidP="00C31071">
      <w:pPr>
        <w:ind w:firstLine="425"/>
        <w:jc w:val="both"/>
        <w:rPr>
          <w:sz w:val="28"/>
          <w:szCs w:val="28"/>
        </w:rPr>
      </w:pPr>
      <w:r w:rsidRPr="006356E6">
        <w:rPr>
          <w:sz w:val="28"/>
          <w:szCs w:val="28"/>
        </w:rPr>
        <w:t>-</w:t>
      </w:r>
      <w:r w:rsidRPr="006356E6">
        <w:rPr>
          <w:sz w:val="28"/>
          <w:szCs w:val="28"/>
          <w:lang w:val="en-US"/>
        </w:rPr>
        <w:t> </w:t>
      </w:r>
      <w:r w:rsidR="00A11F17" w:rsidRPr="006356E6">
        <w:rPr>
          <w:sz w:val="28"/>
          <w:szCs w:val="28"/>
        </w:rPr>
        <w:t>В целях обеспечения эффективного использования муниципального имущества и сокращения количества пустующих помещений, рассмотреть вопрос о включении в подпрограмму 1 "Управление муниципальными финансами" муниципальной программы "Финансы и муниципальный долг" отдельного основного мероприятия, предусматривающее ежегодное финансирование ремонта пустующих помещений в целях их дальнейшего использования, с одновременным определением целевого показателя, отражающего фактическое использование отремонтированных помещений.</w:t>
      </w:r>
    </w:p>
    <w:p w:rsidR="00A11F17" w:rsidRPr="006356E6" w:rsidRDefault="006356E6" w:rsidP="00C31071">
      <w:pPr>
        <w:ind w:firstLine="425"/>
        <w:jc w:val="both"/>
        <w:rPr>
          <w:sz w:val="28"/>
          <w:szCs w:val="28"/>
        </w:rPr>
      </w:pPr>
      <w:r w:rsidRPr="006356E6">
        <w:rPr>
          <w:sz w:val="28"/>
          <w:szCs w:val="28"/>
        </w:rPr>
        <w:t>- </w:t>
      </w:r>
      <w:r w:rsidR="00A11F17" w:rsidRPr="006356E6">
        <w:rPr>
          <w:sz w:val="28"/>
          <w:szCs w:val="28"/>
        </w:rPr>
        <w:t>Администрации Эжвинского района обеспечить организацию учета поступлений доходов от платы за наем муниципальных жилых помещений с последующим отражением задолженности населения за наем в бухгалтерской отчетности.</w:t>
      </w:r>
    </w:p>
    <w:p w:rsidR="00A11F17" w:rsidRPr="006356E6" w:rsidRDefault="006356E6" w:rsidP="00C31071">
      <w:pPr>
        <w:ind w:firstLine="425"/>
        <w:jc w:val="both"/>
        <w:rPr>
          <w:sz w:val="28"/>
          <w:szCs w:val="28"/>
        </w:rPr>
      </w:pPr>
      <w:r w:rsidRPr="006356E6">
        <w:rPr>
          <w:sz w:val="28"/>
          <w:szCs w:val="28"/>
        </w:rPr>
        <w:t>- </w:t>
      </w:r>
      <w:r w:rsidR="00A11F17" w:rsidRPr="006356E6">
        <w:rPr>
          <w:sz w:val="28"/>
          <w:szCs w:val="28"/>
        </w:rPr>
        <w:t>Рассмотреть вопрос о принудительной продаже в судебном порядке находящихся в казне города долей в праве на жилые помещения.</w:t>
      </w:r>
    </w:p>
    <w:p w:rsidR="00A11F17" w:rsidRPr="006356E6" w:rsidRDefault="006356E6" w:rsidP="00C31071">
      <w:pPr>
        <w:ind w:firstLine="425"/>
        <w:jc w:val="both"/>
        <w:rPr>
          <w:sz w:val="28"/>
          <w:szCs w:val="28"/>
        </w:rPr>
      </w:pPr>
      <w:r w:rsidRPr="006356E6">
        <w:rPr>
          <w:sz w:val="28"/>
          <w:szCs w:val="28"/>
        </w:rPr>
        <w:t>- </w:t>
      </w:r>
      <w:r w:rsidR="00A11F17" w:rsidRPr="006356E6">
        <w:rPr>
          <w:sz w:val="28"/>
          <w:szCs w:val="28"/>
        </w:rPr>
        <w:t>Комитету принять меры по проведению обучения специалистов контрактной службы.</w:t>
      </w:r>
    </w:p>
    <w:p w:rsidR="00A11F17" w:rsidRPr="006356E6" w:rsidRDefault="006356E6" w:rsidP="00C31071">
      <w:pPr>
        <w:ind w:firstLine="425"/>
        <w:jc w:val="both"/>
        <w:rPr>
          <w:sz w:val="28"/>
          <w:szCs w:val="28"/>
        </w:rPr>
      </w:pPr>
      <w:r w:rsidRPr="006356E6">
        <w:rPr>
          <w:sz w:val="28"/>
          <w:szCs w:val="28"/>
        </w:rPr>
        <w:t>- </w:t>
      </w:r>
      <w:r w:rsidR="00A11F17" w:rsidRPr="006356E6">
        <w:rPr>
          <w:sz w:val="28"/>
          <w:szCs w:val="28"/>
        </w:rPr>
        <w:t>В целях обеспечения оптимизации расходной части бюджета и качественного бюджетного планирования, учитывать итоги проведения аукционов на осуществление аналогичных видов работ в предыдущие периоды и уровень инфляции.</w:t>
      </w:r>
    </w:p>
    <w:p w:rsidR="006D0F06" w:rsidRDefault="006D0F06" w:rsidP="00963366">
      <w:pPr>
        <w:pStyle w:val="af4"/>
        <w:tabs>
          <w:tab w:val="left" w:pos="324"/>
        </w:tabs>
        <w:ind w:left="40" w:right="-57"/>
        <w:jc w:val="both"/>
        <w:rPr>
          <w:sz w:val="28"/>
          <w:szCs w:val="28"/>
        </w:rPr>
      </w:pPr>
    </w:p>
    <w:p w:rsidR="007C5302" w:rsidRPr="003036D1" w:rsidRDefault="007C5302" w:rsidP="008F01C2">
      <w:pPr>
        <w:pStyle w:val="af4"/>
        <w:tabs>
          <w:tab w:val="left" w:pos="324"/>
        </w:tabs>
        <w:ind w:left="40" w:right="-57" w:firstLine="527"/>
        <w:jc w:val="both"/>
        <w:rPr>
          <w:sz w:val="28"/>
          <w:szCs w:val="28"/>
        </w:rPr>
      </w:pPr>
      <w:r>
        <w:rPr>
          <w:sz w:val="28"/>
          <w:szCs w:val="28"/>
        </w:rPr>
        <w:t xml:space="preserve">По итогам контрольного мероприятия в адрес администраторов доходов направлены представления с предложениями по устранению выявленных нарушений. Согласно </w:t>
      </w:r>
      <w:r w:rsidR="008F01C2">
        <w:rPr>
          <w:sz w:val="28"/>
          <w:szCs w:val="28"/>
        </w:rPr>
        <w:t>представленных ответов по итогам рассмотрения представлений, администраторами доходов осуществляются мероприятия по устранению выявленных нарушений. Вопрос реализации указанных мероприятий находится на контроле Контрольно-счетной палаты.</w:t>
      </w:r>
    </w:p>
    <w:sectPr w:rsidR="007C5302" w:rsidRPr="003036D1" w:rsidSect="000427B4">
      <w:headerReference w:type="even" r:id="rId8"/>
      <w:headerReference w:type="default" r:id="rId9"/>
      <w:footerReference w:type="default" r:id="rId10"/>
      <w:footerReference w:type="first" r:id="rId11"/>
      <w:pgSz w:w="11906" w:h="16838"/>
      <w:pgMar w:top="794"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FA" w:rsidRDefault="006E51FA">
      <w:r>
        <w:separator/>
      </w:r>
    </w:p>
  </w:endnote>
  <w:endnote w:type="continuationSeparator" w:id="0">
    <w:p w:rsidR="006E51FA" w:rsidRDefault="006E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FA" w:rsidRDefault="006E51FA">
      <w:r>
        <w:separator/>
      </w:r>
    </w:p>
  </w:footnote>
  <w:footnote w:type="continuationSeparator" w:id="0">
    <w:p w:rsidR="006E51FA" w:rsidRDefault="006E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14803">
      <w:rPr>
        <w:rStyle w:val="a6"/>
        <w:noProof/>
      </w:rPr>
      <w:t>5</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15:restartNumberingAfterBreak="0">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6" w15:restartNumberingAfterBreak="0">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1" w15:restartNumberingAfterBreak="0">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20"/>
  </w:num>
  <w:num w:numId="5">
    <w:abstractNumId w:val="17"/>
  </w:num>
  <w:num w:numId="6">
    <w:abstractNumId w:val="22"/>
  </w:num>
  <w:num w:numId="7">
    <w:abstractNumId w:val="12"/>
  </w:num>
  <w:num w:numId="8">
    <w:abstractNumId w:val="0"/>
  </w:num>
  <w:num w:numId="9">
    <w:abstractNumId w:val="11"/>
  </w:num>
  <w:num w:numId="10">
    <w:abstractNumId w:val="18"/>
  </w:num>
  <w:num w:numId="11">
    <w:abstractNumId w:val="4"/>
  </w:num>
  <w:num w:numId="12">
    <w:abstractNumId w:val="5"/>
  </w:num>
  <w:num w:numId="13">
    <w:abstractNumId w:val="1"/>
  </w:num>
  <w:num w:numId="14">
    <w:abstractNumId w:val="3"/>
  </w:num>
  <w:num w:numId="15">
    <w:abstractNumId w:val="10"/>
  </w:num>
  <w:num w:numId="16">
    <w:abstractNumId w:val="13"/>
  </w:num>
  <w:num w:numId="17">
    <w:abstractNumId w:val="7"/>
  </w:num>
  <w:num w:numId="18">
    <w:abstractNumId w:val="8"/>
  </w:num>
  <w:num w:numId="19">
    <w:abstractNumId w:val="9"/>
  </w:num>
  <w:num w:numId="20">
    <w:abstractNumId w:val="15"/>
  </w:num>
  <w:num w:numId="21">
    <w:abstractNumId w:val="21"/>
  </w:num>
  <w:num w:numId="22">
    <w:abstractNumId w:val="19"/>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7B3"/>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2E7"/>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D32"/>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0D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6E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1FA"/>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302"/>
    <w:rsid w:val="007C5CD2"/>
    <w:rsid w:val="007C6612"/>
    <w:rsid w:val="007C6A26"/>
    <w:rsid w:val="007C6A83"/>
    <w:rsid w:val="007C6AE2"/>
    <w:rsid w:val="007C78D7"/>
    <w:rsid w:val="007C7FD1"/>
    <w:rsid w:val="007D0765"/>
    <w:rsid w:val="007D0AE4"/>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8FF"/>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1C2"/>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BB5"/>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F9C"/>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1F1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071"/>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4143"/>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A47"/>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2B7C"/>
    <w:rsid w:val="00D7326A"/>
    <w:rsid w:val="00D739C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4D14"/>
    <w:rsid w:val="00EB52C7"/>
    <w:rsid w:val="00EB57A7"/>
    <w:rsid w:val="00EB5A2C"/>
    <w:rsid w:val="00EB5C51"/>
    <w:rsid w:val="00EB62BB"/>
    <w:rsid w:val="00EB667E"/>
    <w:rsid w:val="00EB7151"/>
    <w:rsid w:val="00EB7A0F"/>
    <w:rsid w:val="00EB7FA9"/>
    <w:rsid w:val="00EC001E"/>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03"/>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14B"/>
    <w:rsid w:val="00F544E4"/>
    <w:rsid w:val="00F54519"/>
    <w:rsid w:val="00F5453A"/>
    <w:rsid w:val="00F546C8"/>
    <w:rsid w:val="00F552F8"/>
    <w:rsid w:val="00F55B82"/>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30648-6FEB-4C58-BA5A-27D6BEC6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C825-DB55-44AF-A1FB-DDD4C53B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7</cp:revision>
  <cp:lastPrinted>2021-09-21T14:04:00Z</cp:lastPrinted>
  <dcterms:created xsi:type="dcterms:W3CDTF">2021-09-02T14:34:00Z</dcterms:created>
  <dcterms:modified xsi:type="dcterms:W3CDTF">2021-09-21T14:14:00Z</dcterms:modified>
</cp:coreProperties>
</file>