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30" w:rsidRPr="00EA1061" w:rsidRDefault="006A3F82" w:rsidP="006A3F82">
      <w:pPr>
        <w:spacing w:before="120"/>
        <w:ind w:firstLine="426"/>
        <w:jc w:val="center"/>
        <w:rPr>
          <w:sz w:val="28"/>
          <w:szCs w:val="28"/>
        </w:rPr>
      </w:pPr>
      <w:r>
        <w:rPr>
          <w:rFonts w:eastAsia="Calibri"/>
          <w:sz w:val="28"/>
          <w:szCs w:val="28"/>
        </w:rPr>
        <w:t xml:space="preserve">Информация </w:t>
      </w:r>
      <w:r w:rsidR="00530730" w:rsidRPr="00530730">
        <w:rPr>
          <w:rFonts w:eastAsia="Calibri"/>
          <w:sz w:val="28"/>
          <w:szCs w:val="28"/>
        </w:rPr>
        <w:t>об итогах проверки целевого и эффективного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w:t>
      </w:r>
    </w:p>
    <w:p w:rsidR="00772843" w:rsidRPr="00EA1061" w:rsidRDefault="00772843" w:rsidP="00530730">
      <w:pPr>
        <w:spacing w:before="120"/>
        <w:ind w:firstLine="709"/>
        <w:jc w:val="both"/>
        <w:rPr>
          <w:rFonts w:eastAsia="Calibri"/>
          <w:sz w:val="28"/>
          <w:szCs w:val="28"/>
        </w:rPr>
      </w:pPr>
      <w:r w:rsidRPr="00EA1061">
        <w:rPr>
          <w:sz w:val="28"/>
          <w:szCs w:val="28"/>
        </w:rPr>
        <w:t>В соо</w:t>
      </w:r>
      <w:r w:rsidR="00A171A9" w:rsidRPr="00EA1061">
        <w:rPr>
          <w:sz w:val="28"/>
          <w:szCs w:val="28"/>
        </w:rPr>
        <w:t>тветствии с планом работы на 202</w:t>
      </w:r>
      <w:r w:rsidR="00E07222" w:rsidRPr="00EA1061">
        <w:rPr>
          <w:sz w:val="28"/>
          <w:szCs w:val="28"/>
        </w:rPr>
        <w:t>1</w:t>
      </w:r>
      <w:r w:rsidRPr="00EA1061">
        <w:rPr>
          <w:sz w:val="28"/>
          <w:szCs w:val="28"/>
        </w:rPr>
        <w:t xml:space="preserve"> год</w:t>
      </w:r>
      <w:r w:rsidR="00DD357E" w:rsidRPr="00EA1061">
        <w:rPr>
          <w:sz w:val="28"/>
          <w:szCs w:val="28"/>
        </w:rPr>
        <w:t>,</w:t>
      </w:r>
      <w:r w:rsidRPr="00EA1061">
        <w:rPr>
          <w:sz w:val="28"/>
          <w:szCs w:val="28"/>
        </w:rPr>
        <w:t xml:space="preserve"> Контрольно-счетной палатой муниципального образования городского округа "Сыктывкар" проведен</w:t>
      </w:r>
      <w:r w:rsidR="00A11F17" w:rsidRPr="00EA1061">
        <w:rPr>
          <w:sz w:val="28"/>
          <w:szCs w:val="28"/>
        </w:rPr>
        <w:t>а</w:t>
      </w:r>
      <w:r w:rsidRPr="00EA1061">
        <w:rPr>
          <w:sz w:val="28"/>
          <w:szCs w:val="28"/>
        </w:rPr>
        <w:t xml:space="preserve"> </w:t>
      </w:r>
      <w:r w:rsidR="00A11F17" w:rsidRPr="00EA1061">
        <w:rPr>
          <w:sz w:val="28"/>
          <w:szCs w:val="28"/>
        </w:rPr>
        <w:t xml:space="preserve">проверка </w:t>
      </w:r>
      <w:r w:rsidR="00530730" w:rsidRPr="00EA1061">
        <w:rPr>
          <w:sz w:val="28"/>
          <w:szCs w:val="28"/>
        </w:rPr>
        <w:t>целевого и эффективного использования бюджетных средств, выделенных на переселение граждан из аварийного жилищного фонда в 2019-2020 годах в рамках реализации национального проекта "Жилье и городская среда"</w:t>
      </w:r>
      <w:r w:rsidR="004739D9" w:rsidRPr="00EA1061">
        <w:rPr>
          <w:rFonts w:eastAsia="Calibri"/>
          <w:sz w:val="28"/>
          <w:szCs w:val="28"/>
        </w:rPr>
        <w:t>.</w:t>
      </w:r>
    </w:p>
    <w:p w:rsidR="00530730" w:rsidRPr="00EA1061" w:rsidRDefault="00530730" w:rsidP="00530730">
      <w:pPr>
        <w:spacing w:before="120"/>
        <w:ind w:firstLine="709"/>
        <w:jc w:val="both"/>
        <w:rPr>
          <w:sz w:val="28"/>
          <w:szCs w:val="28"/>
          <w:u w:val="single"/>
        </w:rPr>
      </w:pPr>
      <w:r w:rsidRPr="00EA1061">
        <w:rPr>
          <w:sz w:val="28"/>
          <w:szCs w:val="28"/>
          <w:u w:val="single"/>
        </w:rPr>
        <w:t>Общие положения</w:t>
      </w:r>
    </w:p>
    <w:p w:rsidR="00530730" w:rsidRPr="00EA1061" w:rsidRDefault="00530730" w:rsidP="00530730">
      <w:pPr>
        <w:spacing w:before="120"/>
        <w:ind w:firstLine="567"/>
        <w:jc w:val="both"/>
        <w:rPr>
          <w:sz w:val="28"/>
          <w:szCs w:val="28"/>
        </w:rPr>
      </w:pPr>
      <w:r w:rsidRPr="00EA1061">
        <w:rPr>
          <w:sz w:val="28"/>
          <w:szCs w:val="28"/>
        </w:rPr>
        <w:t>Реализация мероприятий по переселению граждан из аварийного жилищного фонда в анализируемый период осуществлялась в рамках новой муниципальной адресной программы "Переселение граждан из аварийного жилищного фонда на территории МО ГО "Сыктывкар" на период 2019 - 2025 годы", утвержденной постановлением администраци</w:t>
      </w:r>
      <w:bookmarkStart w:id="0" w:name="_GoBack"/>
      <w:bookmarkEnd w:id="0"/>
      <w:r w:rsidRPr="00EA1061">
        <w:rPr>
          <w:sz w:val="28"/>
          <w:szCs w:val="28"/>
        </w:rPr>
        <w:t>и МО ГО "Сыктывкар" от 21.05.2019 № 5/1440 (далее – муниципальная адресная программа).</w:t>
      </w:r>
    </w:p>
    <w:p w:rsidR="00530730" w:rsidRPr="00EA1061" w:rsidRDefault="00530730" w:rsidP="00530730">
      <w:pPr>
        <w:ind w:firstLine="567"/>
        <w:jc w:val="both"/>
        <w:rPr>
          <w:sz w:val="28"/>
          <w:szCs w:val="28"/>
        </w:rPr>
      </w:pPr>
      <w:r w:rsidRPr="00EA1061">
        <w:rPr>
          <w:sz w:val="28"/>
          <w:szCs w:val="28"/>
        </w:rPr>
        <w:t>На 1 января 2019 года количество аварийных многоквартирных домов составляло 131 единицу. Из них в муниципальную адресную программу включено 34 многоквартирных дома, признанных аварийными до 1 января 2017 года (364 жилых помещения, общей площадью 14 929,25 кв.м). На момент проведения проверки количество домов в программе уменьшилось до 33 единиц (345 жилых помещений, общей площадью 13 971,85 кв.м).</w:t>
      </w:r>
    </w:p>
    <w:p w:rsidR="00530730" w:rsidRPr="00EA1061" w:rsidRDefault="00530730" w:rsidP="00530730">
      <w:pPr>
        <w:ind w:firstLine="567"/>
        <w:jc w:val="both"/>
        <w:rPr>
          <w:sz w:val="28"/>
          <w:szCs w:val="28"/>
        </w:rPr>
      </w:pPr>
      <w:r w:rsidRPr="00EA1061">
        <w:rPr>
          <w:sz w:val="28"/>
          <w:szCs w:val="28"/>
        </w:rPr>
        <w:t>В анализируемый период 2019-2020 годов муниципальной адресной программой запланировано переселение из 16 многоквартирных домов. При этом, количество аварийных домов за тот же период увеличилось на 95 единиц и по состоянию на 1 января 2021 года составило 226 единиц.</w:t>
      </w:r>
    </w:p>
    <w:p w:rsidR="00530730" w:rsidRPr="00EA1061" w:rsidRDefault="00530730" w:rsidP="00530730">
      <w:pPr>
        <w:ind w:firstLine="567"/>
        <w:jc w:val="both"/>
        <w:rPr>
          <w:sz w:val="28"/>
          <w:szCs w:val="28"/>
        </w:rPr>
      </w:pPr>
      <w:r w:rsidRPr="00EA1061">
        <w:rPr>
          <w:sz w:val="28"/>
          <w:szCs w:val="28"/>
        </w:rPr>
        <w:t>В нарушение требований пункта 2 части 2 статьи 16 Федерального закона от 21.07.2021 № 185-ФЗ "О Фонде содействия реформированию жилищно-коммунального хозяйства" (далее – Федеральный закон № 185-ФЗ) дома включены в Перечень аварийных домов не в хронологическом порядке признания их аварийными, что влечет нарушение прав граждан, дома которых признаны аварийными ранее. Ранее аналогичное нарушение хронологического порядка формирования Перечня аварийных домов было отражено в Отчете Палаты от 26.12.2019.</w:t>
      </w:r>
    </w:p>
    <w:p w:rsidR="00530730" w:rsidRPr="00EA1061" w:rsidRDefault="00530730" w:rsidP="00530730">
      <w:pPr>
        <w:ind w:firstLine="567"/>
        <w:jc w:val="both"/>
        <w:rPr>
          <w:sz w:val="28"/>
          <w:szCs w:val="28"/>
        </w:rPr>
      </w:pPr>
      <w:r w:rsidRPr="00EA1061">
        <w:rPr>
          <w:sz w:val="28"/>
          <w:szCs w:val="28"/>
        </w:rPr>
        <w:t xml:space="preserve">Противоречие муниципальной адресной программы нормам Жилищного кодекса РФ и республиканской адресной программе "Переселение граждан из аварийного жилищного фонда в 2019-2025 годах", утвержденной постановлением Правительства </w:t>
      </w:r>
      <w:proofErr w:type="spellStart"/>
      <w:r w:rsidRPr="00EA1061">
        <w:rPr>
          <w:sz w:val="28"/>
          <w:szCs w:val="28"/>
        </w:rPr>
        <w:t>РК</w:t>
      </w:r>
      <w:proofErr w:type="spellEnd"/>
      <w:r w:rsidRPr="00EA1061">
        <w:rPr>
          <w:sz w:val="28"/>
          <w:szCs w:val="28"/>
        </w:rPr>
        <w:t xml:space="preserve"> от 31.03.2019 № 160 (далее – республиканская адресная программа, Постановление Правительства </w:t>
      </w:r>
      <w:proofErr w:type="spellStart"/>
      <w:r w:rsidRPr="00EA1061">
        <w:rPr>
          <w:sz w:val="28"/>
          <w:szCs w:val="28"/>
        </w:rPr>
        <w:t>РК</w:t>
      </w:r>
      <w:proofErr w:type="spellEnd"/>
      <w:r w:rsidRPr="00EA1061">
        <w:rPr>
          <w:sz w:val="28"/>
          <w:szCs w:val="28"/>
        </w:rPr>
        <w:t xml:space="preserve"> № 160), в части порядка определения размера разницы между стоимостью предоставляемого жилого помещения и размером возмещения, является коррупциогенным фактором.</w:t>
      </w:r>
    </w:p>
    <w:p w:rsidR="00530730" w:rsidRPr="00EA1061" w:rsidRDefault="00530730" w:rsidP="00530730">
      <w:pPr>
        <w:ind w:firstLine="567"/>
        <w:jc w:val="both"/>
        <w:rPr>
          <w:sz w:val="28"/>
          <w:szCs w:val="28"/>
        </w:rPr>
      </w:pPr>
      <w:r w:rsidRPr="00EA1061">
        <w:rPr>
          <w:sz w:val="28"/>
          <w:szCs w:val="28"/>
        </w:rPr>
        <w:t xml:space="preserve">Муниципальной адресной программой установлено дополнительное требование к приобретаемым жилым помещениям для переселения граждан </w:t>
      </w:r>
      <w:r w:rsidRPr="00EA1061">
        <w:rPr>
          <w:sz w:val="28"/>
          <w:szCs w:val="28"/>
        </w:rPr>
        <w:lastRenderedPageBreak/>
        <w:t>(ввод в эксплуатацию не ранее 1990 года), что может негативно повлиять на ее реализацию, о чем раннее указывалось в отчете Палаты от 26.12.2019.</w:t>
      </w:r>
    </w:p>
    <w:p w:rsidR="00530730" w:rsidRPr="00EA1061" w:rsidRDefault="00530730" w:rsidP="00530730">
      <w:pPr>
        <w:spacing w:before="120"/>
        <w:ind w:firstLine="567"/>
        <w:jc w:val="both"/>
        <w:rPr>
          <w:sz w:val="28"/>
          <w:szCs w:val="28"/>
          <w:u w:val="single"/>
        </w:rPr>
      </w:pPr>
      <w:r w:rsidRPr="00EA1061">
        <w:rPr>
          <w:sz w:val="28"/>
          <w:szCs w:val="28"/>
          <w:u w:val="single"/>
        </w:rPr>
        <w:t>Анализ исполнения мероприятий по переселению граждан из аварийного жилищного фонда</w:t>
      </w:r>
    </w:p>
    <w:p w:rsidR="00530730" w:rsidRPr="00EA1061" w:rsidRDefault="00530730" w:rsidP="00530730">
      <w:pPr>
        <w:ind w:firstLine="567"/>
        <w:jc w:val="both"/>
        <w:rPr>
          <w:sz w:val="28"/>
          <w:szCs w:val="28"/>
        </w:rPr>
      </w:pPr>
      <w:r w:rsidRPr="00EA1061">
        <w:rPr>
          <w:sz w:val="28"/>
          <w:szCs w:val="28"/>
        </w:rPr>
        <w:t xml:space="preserve">В рамках I и </w:t>
      </w:r>
      <w:proofErr w:type="spellStart"/>
      <w:r w:rsidRPr="00EA1061">
        <w:rPr>
          <w:sz w:val="28"/>
          <w:szCs w:val="28"/>
        </w:rPr>
        <w:t>II</w:t>
      </w:r>
      <w:proofErr w:type="spellEnd"/>
      <w:r w:rsidRPr="00EA1061">
        <w:rPr>
          <w:sz w:val="28"/>
          <w:szCs w:val="28"/>
        </w:rPr>
        <w:t xml:space="preserve"> этапов муниципальной адресной программы, планировалось осуществить переселение из 136 аварийных жилых помещений, в том числе:</w:t>
      </w:r>
    </w:p>
    <w:p w:rsidR="00530730" w:rsidRPr="00EA1061" w:rsidRDefault="00530730" w:rsidP="00530730">
      <w:pPr>
        <w:ind w:firstLine="567"/>
        <w:jc w:val="both"/>
        <w:rPr>
          <w:sz w:val="28"/>
          <w:szCs w:val="28"/>
        </w:rPr>
      </w:pPr>
      <w:r w:rsidRPr="00EA1061">
        <w:rPr>
          <w:sz w:val="28"/>
          <w:szCs w:val="28"/>
        </w:rPr>
        <w:t>- приобретение 42 жилых помещений и предоставление по договору социального найма (осуществлялось Администрацией);</w:t>
      </w:r>
    </w:p>
    <w:p w:rsidR="00530730" w:rsidRPr="00EA1061" w:rsidRDefault="00530730" w:rsidP="00530730">
      <w:pPr>
        <w:ind w:firstLine="567"/>
        <w:jc w:val="both"/>
        <w:rPr>
          <w:sz w:val="28"/>
          <w:szCs w:val="28"/>
        </w:rPr>
      </w:pPr>
      <w:r w:rsidRPr="00EA1061">
        <w:rPr>
          <w:sz w:val="28"/>
          <w:szCs w:val="28"/>
        </w:rPr>
        <w:t>- выплата возмещения собственникам 93 изымаемых аварийных жилых помещений (осуществлялось КУМИ);</w:t>
      </w:r>
    </w:p>
    <w:p w:rsidR="00530730" w:rsidRPr="00EA1061" w:rsidRDefault="00530730" w:rsidP="00530730">
      <w:pPr>
        <w:ind w:firstLine="567"/>
        <w:jc w:val="both"/>
        <w:rPr>
          <w:sz w:val="28"/>
          <w:szCs w:val="28"/>
        </w:rPr>
      </w:pPr>
      <w:r w:rsidRPr="00EA1061">
        <w:rPr>
          <w:sz w:val="28"/>
          <w:szCs w:val="28"/>
        </w:rPr>
        <w:t>- предоставление 1 собственнику аварийного помещения другого жилого помещения по договору мены (осуществлялось КУМИ).</w:t>
      </w:r>
    </w:p>
    <w:p w:rsidR="00530730" w:rsidRPr="00EA1061" w:rsidRDefault="00530730" w:rsidP="00530730">
      <w:pPr>
        <w:ind w:firstLine="567"/>
        <w:jc w:val="both"/>
        <w:rPr>
          <w:sz w:val="28"/>
          <w:szCs w:val="28"/>
        </w:rPr>
      </w:pPr>
      <w:r w:rsidRPr="00EA1061">
        <w:rPr>
          <w:sz w:val="28"/>
          <w:szCs w:val="28"/>
        </w:rPr>
        <w:t xml:space="preserve">В соглашениях, заключенных Администрацией с Министерством строительства и дорожного хозяйства Республики Коми не отражались изменения, внесенные в республиканскую и муниципальную адресные программы, в связи с чем плановые показатели реализации I и </w:t>
      </w:r>
      <w:proofErr w:type="spellStart"/>
      <w:r w:rsidRPr="00EA1061">
        <w:rPr>
          <w:sz w:val="28"/>
          <w:szCs w:val="28"/>
        </w:rPr>
        <w:t>II</w:t>
      </w:r>
      <w:proofErr w:type="spellEnd"/>
      <w:r w:rsidRPr="00EA1061">
        <w:rPr>
          <w:sz w:val="28"/>
          <w:szCs w:val="28"/>
        </w:rPr>
        <w:t xml:space="preserve"> этапов, установленные соглашениями, не соответствуют показателям муниципальной адресной программы.</w:t>
      </w:r>
    </w:p>
    <w:p w:rsidR="00530730" w:rsidRPr="00EA1061" w:rsidRDefault="00530730" w:rsidP="00530730">
      <w:pPr>
        <w:spacing w:before="120"/>
        <w:ind w:firstLine="567"/>
        <w:jc w:val="both"/>
        <w:rPr>
          <w:sz w:val="28"/>
          <w:szCs w:val="28"/>
          <w:u w:val="single"/>
        </w:rPr>
      </w:pPr>
      <w:r w:rsidRPr="00EA1061">
        <w:rPr>
          <w:sz w:val="28"/>
          <w:szCs w:val="28"/>
          <w:u w:val="single"/>
        </w:rPr>
        <w:t>Приобретение Администрацией жилых помещений в собственность муниципального образования и передача по договорам социального найма</w:t>
      </w:r>
    </w:p>
    <w:p w:rsidR="00530730" w:rsidRPr="00EA1061" w:rsidRDefault="00530730" w:rsidP="00530730">
      <w:pPr>
        <w:ind w:firstLine="567"/>
        <w:jc w:val="both"/>
        <w:rPr>
          <w:sz w:val="28"/>
          <w:szCs w:val="28"/>
        </w:rPr>
      </w:pPr>
      <w:r w:rsidRPr="00EA1061">
        <w:rPr>
          <w:sz w:val="28"/>
          <w:szCs w:val="28"/>
        </w:rPr>
        <w:t>Исполнение муниципальной адресной программы в части приобретения жилых помещений характеризуется сложностью реализации. По результатам электронных торгов заключены только 43 муниципальных контракта из 99 размещенных заявок (43 процента).</w:t>
      </w:r>
    </w:p>
    <w:p w:rsidR="00530730" w:rsidRPr="00EA1061" w:rsidRDefault="00530730" w:rsidP="00530730">
      <w:pPr>
        <w:ind w:firstLine="567"/>
        <w:jc w:val="both"/>
        <w:rPr>
          <w:sz w:val="28"/>
          <w:szCs w:val="28"/>
        </w:rPr>
      </w:pPr>
      <w:r w:rsidRPr="00EA1061">
        <w:rPr>
          <w:sz w:val="28"/>
          <w:szCs w:val="28"/>
        </w:rPr>
        <w:t>Реализация принятого Администрацией решения о переселении граждан из аварийных домов, со статусом "общежитие" и жилых помещений типа "коммунальная квартира" в отдельные благоустроенные квартиры, влечет дополнительную потребность средств му</w:t>
      </w:r>
      <w:r w:rsidR="00E66045" w:rsidRPr="00EA1061">
        <w:rPr>
          <w:sz w:val="28"/>
          <w:szCs w:val="28"/>
        </w:rPr>
        <w:t>ниципального бюджета порядка 34 </w:t>
      </w:r>
      <w:r w:rsidRPr="00EA1061">
        <w:rPr>
          <w:sz w:val="28"/>
          <w:szCs w:val="28"/>
        </w:rPr>
        <w:t>274,9 тыс. рублей.</w:t>
      </w:r>
    </w:p>
    <w:p w:rsidR="00530730" w:rsidRPr="00EA1061" w:rsidRDefault="00530730" w:rsidP="00530730">
      <w:pPr>
        <w:ind w:firstLine="567"/>
        <w:jc w:val="both"/>
        <w:rPr>
          <w:sz w:val="28"/>
          <w:szCs w:val="28"/>
        </w:rPr>
      </w:pPr>
      <w:r w:rsidRPr="00EA1061">
        <w:rPr>
          <w:sz w:val="28"/>
          <w:szCs w:val="28"/>
        </w:rPr>
        <w:t>В технических заданиях на приобретение жилых помещений для переселения граждан содержатся требования о принадлежности дома и жилых помещений к первичному рынку жилья, что не соответствует условиям муниципальной адресной программы и ограничивает круг потенциальных поставщиков и, как следствие, экономию бюджетных средств.</w:t>
      </w:r>
    </w:p>
    <w:p w:rsidR="00530730" w:rsidRPr="00EA1061" w:rsidRDefault="00530730" w:rsidP="00530730">
      <w:pPr>
        <w:ind w:firstLine="567"/>
        <w:jc w:val="both"/>
        <w:rPr>
          <w:sz w:val="28"/>
          <w:szCs w:val="28"/>
        </w:rPr>
      </w:pPr>
      <w:r w:rsidRPr="00EA1061">
        <w:rPr>
          <w:sz w:val="28"/>
          <w:szCs w:val="28"/>
        </w:rPr>
        <w:t>Снижение средней стоимости за 1 кв.м. жилой площади составило 15 процентов от НМЦК и связано с тем, что поставщиками в рамках закупок предложены жилые помещения большей площади, чем предусмотрено техническим заданием. Количество дополнительно приобретенных площадей составляет 264,2 кв.м., что на 15 процентов больше запланированных объемов.</w:t>
      </w:r>
    </w:p>
    <w:p w:rsidR="00530730" w:rsidRPr="00EA1061" w:rsidRDefault="00530730" w:rsidP="00E66045">
      <w:pPr>
        <w:spacing w:before="120"/>
        <w:ind w:firstLine="567"/>
        <w:jc w:val="both"/>
        <w:rPr>
          <w:sz w:val="28"/>
          <w:szCs w:val="28"/>
          <w:u w:val="single"/>
        </w:rPr>
      </w:pPr>
      <w:r w:rsidRPr="00EA1061">
        <w:rPr>
          <w:sz w:val="28"/>
          <w:szCs w:val="28"/>
          <w:u w:val="single"/>
        </w:rPr>
        <w:t>Выплата КУМИ возмещения собственникам изымаемых в муниципальную собственность аварийных жилых помещений</w:t>
      </w:r>
    </w:p>
    <w:p w:rsidR="00530730" w:rsidRPr="00EA1061" w:rsidRDefault="00530730" w:rsidP="00530730">
      <w:pPr>
        <w:ind w:firstLine="567"/>
        <w:jc w:val="both"/>
        <w:rPr>
          <w:sz w:val="28"/>
          <w:szCs w:val="28"/>
        </w:rPr>
      </w:pPr>
      <w:r w:rsidRPr="00EA1061">
        <w:rPr>
          <w:sz w:val="28"/>
          <w:szCs w:val="28"/>
        </w:rPr>
        <w:t>Исполнение муниципальной адресной программы в части выплаты возмещения характеризуется наличием судебных споров с собственниками аварийных жилых помещений.</w:t>
      </w:r>
    </w:p>
    <w:p w:rsidR="00530730" w:rsidRPr="00EA1061" w:rsidRDefault="00530730" w:rsidP="00530730">
      <w:pPr>
        <w:ind w:firstLine="567"/>
        <w:jc w:val="both"/>
        <w:rPr>
          <w:sz w:val="28"/>
          <w:szCs w:val="28"/>
        </w:rPr>
      </w:pPr>
      <w:r w:rsidRPr="00EA1061">
        <w:rPr>
          <w:sz w:val="28"/>
          <w:szCs w:val="28"/>
        </w:rPr>
        <w:t xml:space="preserve">Техническими заданиями на оказание услуг по определению размера возмещения при изъятии у собственников жилых помещений, определены </w:t>
      </w:r>
      <w:r w:rsidRPr="00EA1061">
        <w:rPr>
          <w:sz w:val="28"/>
          <w:szCs w:val="28"/>
        </w:rPr>
        <w:lastRenderedPageBreak/>
        <w:t>площади помещений, подлежащих оценке (без указания площадей общего пользования). При этом в нескольких случаях расчет размера возмещения осуществлен по площади помещения, отличной от площади определенной техническим заданием, на основании писем КУМИ без подтверждающих документов (технических паспортов), что свидетельствует о неоднозначности подхода к определению размера выплаты возмещения.</w:t>
      </w:r>
    </w:p>
    <w:p w:rsidR="00530730" w:rsidRPr="00EA1061" w:rsidRDefault="00530730" w:rsidP="00530730">
      <w:pPr>
        <w:ind w:firstLine="567"/>
        <w:jc w:val="both"/>
        <w:rPr>
          <w:sz w:val="28"/>
          <w:szCs w:val="28"/>
        </w:rPr>
      </w:pPr>
      <w:r w:rsidRPr="00EA1061">
        <w:rPr>
          <w:sz w:val="28"/>
          <w:szCs w:val="28"/>
        </w:rPr>
        <w:t>В одном случае КУМИ принят отчет оценщика, в котором отсутствуют документы, обосновывающие применение в расчете площади помещений отличной от площади определенной техническим заданием (включение мест общего пользования), что противоречит пункту 10 Федерального стандарта оценки "Требования к отчету об оценке (</w:t>
      </w:r>
      <w:proofErr w:type="spellStart"/>
      <w:r w:rsidRPr="00EA1061">
        <w:rPr>
          <w:sz w:val="28"/>
          <w:szCs w:val="28"/>
        </w:rPr>
        <w:t>ФСО</w:t>
      </w:r>
      <w:proofErr w:type="spellEnd"/>
      <w:r w:rsidRPr="00EA1061">
        <w:rPr>
          <w:sz w:val="28"/>
          <w:szCs w:val="28"/>
        </w:rPr>
        <w:t xml:space="preserve"> №3)", утвержденного приказом Минэкономразвития России от 20.05.2015 № 299.</w:t>
      </w:r>
    </w:p>
    <w:p w:rsidR="00530730" w:rsidRPr="00530730" w:rsidRDefault="00530730" w:rsidP="00530730">
      <w:pPr>
        <w:ind w:firstLine="567"/>
        <w:jc w:val="both"/>
        <w:rPr>
          <w:sz w:val="28"/>
          <w:szCs w:val="28"/>
        </w:rPr>
      </w:pPr>
      <w:r w:rsidRPr="00EA1061">
        <w:rPr>
          <w:sz w:val="28"/>
          <w:szCs w:val="28"/>
        </w:rPr>
        <w:t xml:space="preserve">В 11 отчетах оценщика по определению размера возмещения по жилым помещениям, находящимся в малосемейном общежитии по адресу ул. </w:t>
      </w:r>
      <w:proofErr w:type="spellStart"/>
      <w:r w:rsidRPr="00EA1061">
        <w:rPr>
          <w:sz w:val="28"/>
          <w:szCs w:val="28"/>
        </w:rPr>
        <w:t>Маегова</w:t>
      </w:r>
      <w:proofErr w:type="spellEnd"/>
      <w:r w:rsidRPr="00EA1061">
        <w:rPr>
          <w:sz w:val="28"/>
          <w:szCs w:val="28"/>
        </w:rPr>
        <w:t xml:space="preserve">, д.9, не содержатся сведения о включении в расчет общего имущества в многоквартирном доме. В КУМИ информация о площадях </w:t>
      </w:r>
      <w:r w:rsidRPr="00530730">
        <w:rPr>
          <w:sz w:val="28"/>
          <w:szCs w:val="28"/>
        </w:rPr>
        <w:t>помещений с учетом мест общего пользования и технический паспорт на дом отсутствуют.</w:t>
      </w:r>
    </w:p>
    <w:p w:rsidR="00530730" w:rsidRPr="00530730" w:rsidRDefault="00530730" w:rsidP="00530730">
      <w:pPr>
        <w:ind w:firstLine="567"/>
        <w:jc w:val="both"/>
        <w:rPr>
          <w:sz w:val="28"/>
          <w:szCs w:val="28"/>
        </w:rPr>
      </w:pPr>
      <w:r w:rsidRPr="00530730">
        <w:rPr>
          <w:sz w:val="28"/>
          <w:szCs w:val="28"/>
        </w:rPr>
        <w:t>На момент заключения договора мены отсутствует действующий отчет об оценке, определяющий размер возмещения за изымаемое жилое помещение по правилам, установленным частью 7 статьи 32 Жилищного кодекса РФ. В связи с этим не подтверждено условие о превышении стоимости предоставляемого жилого помещения над размером возмещения.</w:t>
      </w:r>
    </w:p>
    <w:p w:rsidR="00530730" w:rsidRPr="00530730" w:rsidRDefault="00530730" w:rsidP="00530730">
      <w:pPr>
        <w:ind w:firstLine="567"/>
        <w:jc w:val="both"/>
        <w:rPr>
          <w:sz w:val="28"/>
          <w:szCs w:val="28"/>
        </w:rPr>
      </w:pPr>
      <w:r w:rsidRPr="00530730">
        <w:rPr>
          <w:sz w:val="28"/>
          <w:szCs w:val="28"/>
        </w:rPr>
        <w:t>В результате наличия в муниципальной адресной программе указанных в пункте 2 Отчета противоречий и неоднозначных формулировок, КУМИ осуществлен расчет доплаты собственником</w:t>
      </w:r>
      <w:r w:rsidR="00E66045">
        <w:rPr>
          <w:sz w:val="28"/>
          <w:szCs w:val="28"/>
        </w:rPr>
        <w:t xml:space="preserve"> жилого помещения по адресу ул. </w:t>
      </w:r>
      <w:proofErr w:type="spellStart"/>
      <w:r w:rsidRPr="00530730">
        <w:rPr>
          <w:sz w:val="28"/>
          <w:szCs w:val="28"/>
        </w:rPr>
        <w:t>Маегова</w:t>
      </w:r>
      <w:proofErr w:type="spellEnd"/>
      <w:r w:rsidRPr="00530730">
        <w:rPr>
          <w:sz w:val="28"/>
          <w:szCs w:val="28"/>
        </w:rPr>
        <w:t xml:space="preserve">, д.9. кв. 11 разницы в стоимости предоставляемого помещения и размера возмещения, не соответствующий как требованиям Жилищного кодекса РФ, Постановления Правительства </w:t>
      </w:r>
      <w:proofErr w:type="spellStart"/>
      <w:r w:rsidRPr="00530730">
        <w:rPr>
          <w:sz w:val="28"/>
          <w:szCs w:val="28"/>
        </w:rPr>
        <w:t>РК</w:t>
      </w:r>
      <w:proofErr w:type="spellEnd"/>
      <w:r w:rsidRPr="00530730">
        <w:rPr>
          <w:sz w:val="28"/>
          <w:szCs w:val="28"/>
        </w:rPr>
        <w:t xml:space="preserve"> № 160, так и самой муниципальной адресной программы.</w:t>
      </w:r>
    </w:p>
    <w:p w:rsidR="00530730" w:rsidRPr="00E66045" w:rsidRDefault="00530730" w:rsidP="00E66045">
      <w:pPr>
        <w:spacing w:before="120"/>
        <w:ind w:firstLine="567"/>
        <w:jc w:val="both"/>
        <w:rPr>
          <w:sz w:val="28"/>
          <w:szCs w:val="28"/>
          <w:u w:val="single"/>
        </w:rPr>
      </w:pPr>
      <w:r w:rsidRPr="00E66045">
        <w:rPr>
          <w:sz w:val="28"/>
          <w:szCs w:val="28"/>
          <w:u w:val="single"/>
        </w:rPr>
        <w:t>Реализация иных мероприятий, не входящих в муниципальную адресную программу</w:t>
      </w:r>
    </w:p>
    <w:p w:rsidR="00530730" w:rsidRPr="00530730" w:rsidRDefault="00530730" w:rsidP="00530730">
      <w:pPr>
        <w:ind w:firstLine="567"/>
        <w:jc w:val="both"/>
        <w:rPr>
          <w:sz w:val="28"/>
          <w:szCs w:val="28"/>
        </w:rPr>
      </w:pPr>
      <w:r w:rsidRPr="00530730">
        <w:rPr>
          <w:sz w:val="28"/>
          <w:szCs w:val="28"/>
        </w:rPr>
        <w:t>В проверяемом периоде, осуществлены иные мероприятия по сокращению непригодного для проживания жилищного фонда, за счет средств местного бюджета на общую сумму 15 886,2 тыс. рублей, в том числе:</w:t>
      </w:r>
    </w:p>
    <w:p w:rsidR="00530730" w:rsidRPr="00530730" w:rsidRDefault="00530730" w:rsidP="00530730">
      <w:pPr>
        <w:ind w:firstLine="567"/>
        <w:jc w:val="both"/>
        <w:rPr>
          <w:sz w:val="28"/>
          <w:szCs w:val="28"/>
        </w:rPr>
      </w:pPr>
      <w:r w:rsidRPr="00530730">
        <w:rPr>
          <w:sz w:val="28"/>
          <w:szCs w:val="28"/>
        </w:rPr>
        <w:t>- исполнение судебных актов на общую сумму 8 877,4 тыс. рублей;</w:t>
      </w:r>
    </w:p>
    <w:p w:rsidR="00530730" w:rsidRPr="00530730" w:rsidRDefault="00530730" w:rsidP="00530730">
      <w:pPr>
        <w:ind w:firstLine="567"/>
        <w:jc w:val="both"/>
        <w:rPr>
          <w:sz w:val="28"/>
          <w:szCs w:val="28"/>
        </w:rPr>
      </w:pPr>
      <w:r w:rsidRPr="00530730">
        <w:rPr>
          <w:sz w:val="28"/>
          <w:szCs w:val="28"/>
        </w:rPr>
        <w:t>- оценка рыночной стоимости помещений для последующего выкупа у собственников, на общую сумму 80,6 тыс. рублей;</w:t>
      </w:r>
    </w:p>
    <w:p w:rsidR="00530730" w:rsidRPr="00530730" w:rsidRDefault="00530730" w:rsidP="00530730">
      <w:pPr>
        <w:ind w:firstLine="567"/>
        <w:jc w:val="both"/>
        <w:rPr>
          <w:sz w:val="28"/>
          <w:szCs w:val="28"/>
        </w:rPr>
      </w:pPr>
      <w:r w:rsidRPr="00530730">
        <w:rPr>
          <w:sz w:val="28"/>
          <w:szCs w:val="28"/>
        </w:rPr>
        <w:t>- снос аварийных домов, на общую сумму 6 908,3 тыс. рублей.</w:t>
      </w:r>
    </w:p>
    <w:p w:rsidR="00530730" w:rsidRPr="00E66045" w:rsidRDefault="00530730" w:rsidP="00E66045">
      <w:pPr>
        <w:spacing w:before="120"/>
        <w:ind w:firstLine="567"/>
        <w:jc w:val="both"/>
        <w:rPr>
          <w:sz w:val="28"/>
          <w:szCs w:val="28"/>
          <w:u w:val="single"/>
        </w:rPr>
      </w:pPr>
      <w:r w:rsidRPr="00E66045">
        <w:rPr>
          <w:sz w:val="28"/>
          <w:szCs w:val="28"/>
          <w:u w:val="single"/>
        </w:rPr>
        <w:t>Оценка эффективности муниципальной адресной программы</w:t>
      </w:r>
    </w:p>
    <w:p w:rsidR="00530730" w:rsidRPr="00530730" w:rsidRDefault="00530730" w:rsidP="00530730">
      <w:pPr>
        <w:ind w:firstLine="567"/>
        <w:jc w:val="both"/>
        <w:rPr>
          <w:sz w:val="28"/>
          <w:szCs w:val="28"/>
        </w:rPr>
      </w:pPr>
      <w:r w:rsidRPr="00530730">
        <w:rPr>
          <w:sz w:val="28"/>
          <w:szCs w:val="28"/>
        </w:rPr>
        <w:t>В 2019-2020 годах наблюдается рост доли аварийного жилищного фонда в общем объеме жилищного фонда с 6,5 до 7,5 процентов, что обусловлено превышением темпов роста признания домов аварийными над темпами роста общего количества многоквартирных домов МО ГО "Сыктывкар".</w:t>
      </w:r>
    </w:p>
    <w:p w:rsidR="00530730" w:rsidRPr="00530730" w:rsidRDefault="00530730" w:rsidP="00530730">
      <w:pPr>
        <w:ind w:firstLine="567"/>
        <w:jc w:val="both"/>
        <w:rPr>
          <w:sz w:val="28"/>
          <w:szCs w:val="28"/>
        </w:rPr>
      </w:pPr>
      <w:r w:rsidRPr="00530730">
        <w:rPr>
          <w:sz w:val="28"/>
          <w:szCs w:val="28"/>
        </w:rPr>
        <w:t xml:space="preserve">За период 2019-2020 годов общее количество аварийных многоквартирных домов увеличилось на 95 единиц, что превышает не только количество домов, запланированных к переселению в тот же период (16 домов), но и в целом за весь </w:t>
      </w:r>
      <w:r w:rsidRPr="00530730">
        <w:rPr>
          <w:sz w:val="28"/>
          <w:szCs w:val="28"/>
        </w:rPr>
        <w:lastRenderedPageBreak/>
        <w:t>период реализации муниципальной адресной программы с 01.01.2019 по 31.12.2023 (33 дома).</w:t>
      </w:r>
    </w:p>
    <w:p w:rsidR="00530730" w:rsidRPr="00530730" w:rsidRDefault="00530730" w:rsidP="00530730">
      <w:pPr>
        <w:ind w:firstLine="567"/>
        <w:jc w:val="both"/>
        <w:rPr>
          <w:sz w:val="28"/>
          <w:szCs w:val="28"/>
        </w:rPr>
      </w:pPr>
      <w:r w:rsidRPr="00530730">
        <w:rPr>
          <w:sz w:val="28"/>
          <w:szCs w:val="28"/>
        </w:rPr>
        <w:t>Экономия бюджетных средств по результатам торгов на приобретение жилых помещений отсутствует. Снижение средней стоимости 1 кв.м. площади помещений обусловлено приобретением квартир большей площадью, чем предусмотрено техническими заданиями по НМЦК.</w:t>
      </w:r>
    </w:p>
    <w:p w:rsidR="00530730" w:rsidRPr="00530730" w:rsidRDefault="00530730" w:rsidP="00530730">
      <w:pPr>
        <w:ind w:firstLine="567"/>
        <w:jc w:val="both"/>
        <w:rPr>
          <w:sz w:val="28"/>
          <w:szCs w:val="28"/>
        </w:rPr>
      </w:pPr>
      <w:r w:rsidRPr="00530730">
        <w:rPr>
          <w:sz w:val="28"/>
          <w:szCs w:val="28"/>
        </w:rPr>
        <w:t>В целом, реализация муниципальной адресной программы (без учета негативных последствий, вызванных спорами с собственниками жилых помещений), характеризуется положительными значениями показателей эффективности.</w:t>
      </w:r>
    </w:p>
    <w:p w:rsidR="00530730" w:rsidRDefault="00530730" w:rsidP="00530730">
      <w:pPr>
        <w:ind w:firstLine="567"/>
        <w:jc w:val="both"/>
        <w:rPr>
          <w:sz w:val="28"/>
          <w:szCs w:val="28"/>
        </w:rPr>
      </w:pPr>
      <w:r w:rsidRPr="00530730">
        <w:rPr>
          <w:sz w:val="28"/>
          <w:szCs w:val="28"/>
        </w:rPr>
        <w:t>Между тем, существующие темпы переселения граждан, при наличии значительного негативного потенциала в виде большой доли деревянных многоквартирных домов, недостаточны и в среднесрочной перспективе не приведут к улучшению ситуации с аварийным жилищным фондом города.</w:t>
      </w:r>
    </w:p>
    <w:p w:rsidR="00E66045" w:rsidRDefault="00E66045" w:rsidP="00530730">
      <w:pPr>
        <w:ind w:firstLine="567"/>
        <w:jc w:val="both"/>
        <w:rPr>
          <w:sz w:val="28"/>
          <w:szCs w:val="28"/>
        </w:rPr>
      </w:pPr>
    </w:p>
    <w:p w:rsidR="00E66045" w:rsidRPr="00E66045" w:rsidRDefault="00E66045" w:rsidP="00E66045">
      <w:pPr>
        <w:ind w:firstLine="567"/>
        <w:jc w:val="both"/>
        <w:rPr>
          <w:sz w:val="28"/>
          <w:szCs w:val="28"/>
        </w:rPr>
      </w:pPr>
      <w:r w:rsidRPr="00E66045">
        <w:rPr>
          <w:sz w:val="28"/>
          <w:szCs w:val="28"/>
        </w:rPr>
        <w:t>По итогам проверки подготовлены предложения по устранению выявленных нарушений и замечаний, в том числе:</w:t>
      </w:r>
    </w:p>
    <w:p w:rsidR="00530730" w:rsidRPr="00530730" w:rsidRDefault="00E66045" w:rsidP="00530730">
      <w:pPr>
        <w:ind w:firstLine="567"/>
        <w:jc w:val="both"/>
        <w:rPr>
          <w:sz w:val="28"/>
          <w:szCs w:val="28"/>
        </w:rPr>
      </w:pPr>
      <w:r>
        <w:rPr>
          <w:sz w:val="28"/>
          <w:szCs w:val="28"/>
        </w:rPr>
        <w:t>- П</w:t>
      </w:r>
      <w:r w:rsidR="00530730" w:rsidRPr="00530730">
        <w:rPr>
          <w:sz w:val="28"/>
          <w:szCs w:val="28"/>
        </w:rPr>
        <w:t>ривести муниципальную адресную программу в соответствие требованиям Жилищного кодекса РФ, Федерального закона № 185-ФЗ, республиканской адресной программы.</w:t>
      </w:r>
    </w:p>
    <w:p w:rsidR="00530730" w:rsidRPr="00530730" w:rsidRDefault="00E66045" w:rsidP="00530730">
      <w:pPr>
        <w:ind w:firstLine="567"/>
        <w:jc w:val="both"/>
        <w:rPr>
          <w:sz w:val="28"/>
          <w:szCs w:val="28"/>
        </w:rPr>
      </w:pPr>
      <w:r>
        <w:rPr>
          <w:sz w:val="28"/>
          <w:szCs w:val="28"/>
        </w:rPr>
        <w:t>- Р</w:t>
      </w:r>
      <w:r w:rsidR="00530730" w:rsidRPr="00530730">
        <w:rPr>
          <w:sz w:val="28"/>
          <w:szCs w:val="28"/>
        </w:rPr>
        <w:t>ассмотреть вопрос об исключении из муниципальной адресной программы дополнительных ограничений к приобретаемым жилым помещениям для переселения граждан, в части года ввода многоквартирного дома в эксплуатацию, которые могут негативно повлиять на реализацию муниципальной адресной программы.</w:t>
      </w:r>
    </w:p>
    <w:p w:rsidR="00530730" w:rsidRDefault="00E66045" w:rsidP="00530730">
      <w:pPr>
        <w:ind w:firstLine="567"/>
        <w:jc w:val="both"/>
        <w:rPr>
          <w:sz w:val="28"/>
          <w:szCs w:val="28"/>
        </w:rPr>
      </w:pPr>
      <w:r>
        <w:rPr>
          <w:sz w:val="28"/>
          <w:szCs w:val="28"/>
        </w:rPr>
        <w:t>- П</w:t>
      </w:r>
      <w:r w:rsidR="00530730" w:rsidRPr="00530730">
        <w:rPr>
          <w:sz w:val="28"/>
          <w:szCs w:val="28"/>
        </w:rPr>
        <w:t>ри проведении закупок на предоставление услуг по оценке возмещения за жилое помещение при его изъятии, формировать технические задания в соответствии с требованиями части 7 статьи 32 Жилищного кодекса РФ, с учетом данных о местах общего пользования в многоквартирном доме с использованием подтверждающих документов (технических паспортов).</w:t>
      </w:r>
    </w:p>
    <w:p w:rsidR="00530730" w:rsidRDefault="00530730" w:rsidP="00C31071">
      <w:pPr>
        <w:ind w:firstLine="425"/>
        <w:jc w:val="both"/>
        <w:rPr>
          <w:sz w:val="28"/>
          <w:szCs w:val="28"/>
        </w:rPr>
      </w:pPr>
    </w:p>
    <w:p w:rsidR="007C5302" w:rsidRPr="00D436B3" w:rsidRDefault="007C5302" w:rsidP="008F01C2">
      <w:pPr>
        <w:pStyle w:val="af4"/>
        <w:tabs>
          <w:tab w:val="left" w:pos="324"/>
        </w:tabs>
        <w:ind w:left="40" w:right="-57" w:firstLine="527"/>
        <w:jc w:val="both"/>
        <w:rPr>
          <w:sz w:val="28"/>
          <w:szCs w:val="28"/>
        </w:rPr>
      </w:pPr>
      <w:r w:rsidRPr="00D436B3">
        <w:rPr>
          <w:sz w:val="28"/>
          <w:szCs w:val="28"/>
        </w:rPr>
        <w:t xml:space="preserve">По итогам контрольного мероприятия в адрес </w:t>
      </w:r>
      <w:r w:rsidR="00E66045" w:rsidRPr="00D436B3">
        <w:rPr>
          <w:sz w:val="28"/>
          <w:szCs w:val="28"/>
        </w:rPr>
        <w:t>Администрации МО ГО "Сыктывкар" направлено</w:t>
      </w:r>
      <w:r w:rsidRPr="00D436B3">
        <w:rPr>
          <w:sz w:val="28"/>
          <w:szCs w:val="28"/>
        </w:rPr>
        <w:t xml:space="preserve"> представлени</w:t>
      </w:r>
      <w:r w:rsidR="00E66045" w:rsidRPr="00D436B3">
        <w:rPr>
          <w:sz w:val="28"/>
          <w:szCs w:val="28"/>
        </w:rPr>
        <w:t>е</w:t>
      </w:r>
      <w:r w:rsidRPr="00D436B3">
        <w:rPr>
          <w:sz w:val="28"/>
          <w:szCs w:val="28"/>
        </w:rPr>
        <w:t xml:space="preserve"> с предложениями по устранению выявленных нарушений. Согласно </w:t>
      </w:r>
      <w:r w:rsidR="008F01C2" w:rsidRPr="00D436B3">
        <w:rPr>
          <w:sz w:val="28"/>
          <w:szCs w:val="28"/>
        </w:rPr>
        <w:t>представленн</w:t>
      </w:r>
      <w:r w:rsidR="00D436B3" w:rsidRPr="00D436B3">
        <w:rPr>
          <w:sz w:val="28"/>
          <w:szCs w:val="28"/>
        </w:rPr>
        <w:t>ого ответа</w:t>
      </w:r>
      <w:r w:rsidR="008F01C2" w:rsidRPr="00D436B3">
        <w:rPr>
          <w:sz w:val="28"/>
          <w:szCs w:val="28"/>
        </w:rPr>
        <w:t xml:space="preserve"> по итогам рассмотрения представлени</w:t>
      </w:r>
      <w:r w:rsidR="00D436B3" w:rsidRPr="00D436B3">
        <w:rPr>
          <w:sz w:val="28"/>
          <w:szCs w:val="28"/>
        </w:rPr>
        <w:t>я</w:t>
      </w:r>
      <w:r w:rsidR="008F01C2" w:rsidRPr="00D436B3">
        <w:rPr>
          <w:sz w:val="28"/>
          <w:szCs w:val="28"/>
        </w:rPr>
        <w:t>, мероприятия по устранению выявленных нарушений</w:t>
      </w:r>
      <w:r w:rsidR="00D436B3" w:rsidRPr="00D436B3">
        <w:rPr>
          <w:sz w:val="28"/>
          <w:szCs w:val="28"/>
        </w:rPr>
        <w:t xml:space="preserve"> выполнены.</w:t>
      </w:r>
    </w:p>
    <w:sectPr w:rsidR="007C5302" w:rsidRPr="00D436B3" w:rsidSect="000427B4">
      <w:headerReference w:type="even" r:id="rId8"/>
      <w:headerReference w:type="default" r:id="rId9"/>
      <w:footerReference w:type="default" r:id="rId10"/>
      <w:footerReference w:type="first" r:id="rId11"/>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D8F" w:rsidRDefault="00070D8F">
      <w:r>
        <w:separator/>
      </w:r>
    </w:p>
  </w:endnote>
  <w:endnote w:type="continuationSeparator" w:id="0">
    <w:p w:rsidR="00070D8F" w:rsidRDefault="0007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D8F" w:rsidRDefault="00070D8F">
      <w:r>
        <w:separator/>
      </w:r>
    </w:p>
  </w:footnote>
  <w:footnote w:type="continuationSeparator" w:id="0">
    <w:p w:rsidR="00070D8F" w:rsidRDefault="0007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54249">
      <w:rPr>
        <w:rStyle w:val="a6"/>
        <w:noProof/>
      </w:rPr>
      <w:t>4</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C42"/>
    <w:rsid w:val="00044F93"/>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4249"/>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0D8F"/>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AAB"/>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8B5"/>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730"/>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3F82"/>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5F55"/>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10F0"/>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6B3"/>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045"/>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061"/>
    <w:rsid w:val="00EA131B"/>
    <w:rsid w:val="00EA2D8F"/>
    <w:rsid w:val="00EA3FC9"/>
    <w:rsid w:val="00EA4148"/>
    <w:rsid w:val="00EA44BE"/>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70CFA-5C0B-41A0-A5E9-90B162FB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1564</Words>
  <Characters>8919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5</cp:revision>
  <cp:lastPrinted>2021-12-15T08:02:00Z</cp:lastPrinted>
  <dcterms:created xsi:type="dcterms:W3CDTF">2021-12-10T12:06:00Z</dcterms:created>
  <dcterms:modified xsi:type="dcterms:W3CDTF">2021-12-15T13:17:00Z</dcterms:modified>
</cp:coreProperties>
</file>