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6E04EF" w:rsidRDefault="008C5B75" w:rsidP="006E04EF">
      <w:pPr>
        <w:ind w:firstLine="709"/>
        <w:jc w:val="center"/>
        <w:rPr>
          <w:sz w:val="28"/>
          <w:szCs w:val="28"/>
        </w:rPr>
      </w:pPr>
      <w:r w:rsidRPr="006E04EF">
        <w:rPr>
          <w:rFonts w:eastAsia="Calibri"/>
          <w:spacing w:val="-8"/>
          <w:sz w:val="28"/>
          <w:szCs w:val="28"/>
        </w:rPr>
        <w:t xml:space="preserve">О результатах </w:t>
      </w:r>
      <w:r w:rsidR="003E27F3">
        <w:rPr>
          <w:rFonts w:eastAsia="Calibri"/>
          <w:spacing w:val="-8"/>
          <w:sz w:val="28"/>
          <w:szCs w:val="28"/>
        </w:rPr>
        <w:t>экспертизы</w:t>
      </w:r>
      <w:r w:rsidR="006E04EF" w:rsidRPr="006E04EF">
        <w:rPr>
          <w:rFonts w:eastAsia="Calibri"/>
          <w:spacing w:val="-8"/>
          <w:sz w:val="28"/>
          <w:szCs w:val="28"/>
        </w:rPr>
        <w:t xml:space="preserve"> муниципальной программы МО ГО "Сыктывкар" "</w:t>
      </w:r>
      <w:r w:rsidR="001B28F1">
        <w:rPr>
          <w:rFonts w:eastAsia="Calibri"/>
          <w:spacing w:val="-8"/>
          <w:sz w:val="28"/>
          <w:szCs w:val="28"/>
        </w:rPr>
        <w:t>Жилищный фонд</w:t>
      </w:r>
      <w:r w:rsidR="006E04EF" w:rsidRPr="006E04EF">
        <w:rPr>
          <w:rFonts w:eastAsia="Calibri"/>
          <w:spacing w:val="-8"/>
          <w:sz w:val="28"/>
          <w:szCs w:val="28"/>
        </w:rPr>
        <w:t>"</w:t>
      </w:r>
    </w:p>
    <w:p w:rsidR="00772843" w:rsidRDefault="00772843" w:rsidP="00BA6C52">
      <w:pPr>
        <w:spacing w:before="120"/>
        <w:ind w:firstLine="709"/>
        <w:jc w:val="both"/>
        <w:rPr>
          <w:rFonts w:eastAsia="Calibri"/>
          <w:spacing w:val="-8"/>
          <w:sz w:val="28"/>
          <w:szCs w:val="28"/>
        </w:rPr>
      </w:pPr>
      <w:r w:rsidRPr="006E04EF">
        <w:rPr>
          <w:sz w:val="28"/>
          <w:szCs w:val="28"/>
        </w:rPr>
        <w:t>В соответствии с планом работы на 20</w:t>
      </w:r>
      <w:r w:rsidR="003E27F3">
        <w:rPr>
          <w:sz w:val="28"/>
          <w:szCs w:val="28"/>
        </w:rPr>
        <w:t>2</w:t>
      </w:r>
      <w:r w:rsidR="001B28F1">
        <w:rPr>
          <w:sz w:val="28"/>
          <w:szCs w:val="28"/>
        </w:rPr>
        <w:t>1</w:t>
      </w:r>
      <w:r w:rsidRPr="006E04EF">
        <w:rPr>
          <w:sz w:val="28"/>
          <w:szCs w:val="28"/>
        </w:rPr>
        <w:t xml:space="preserve"> год Контрольно-счетной палатой муниципального образования городского округа "Сыктывкар" проведена </w:t>
      </w:r>
      <w:r w:rsidR="003E27F3">
        <w:rPr>
          <w:sz w:val="28"/>
          <w:szCs w:val="28"/>
        </w:rPr>
        <w:t>экспертиза</w:t>
      </w:r>
      <w:r w:rsidR="006E04EF" w:rsidRPr="006E04EF">
        <w:rPr>
          <w:rFonts w:eastAsia="Calibri"/>
          <w:spacing w:val="-8"/>
          <w:sz w:val="28"/>
          <w:szCs w:val="28"/>
        </w:rPr>
        <w:t xml:space="preserve"> муниципальной программы МО ГО "Сыктывкар" </w:t>
      </w:r>
      <w:r w:rsidR="003E27F3">
        <w:rPr>
          <w:rFonts w:eastAsia="Calibri"/>
          <w:spacing w:val="-8"/>
          <w:sz w:val="28"/>
          <w:szCs w:val="28"/>
        </w:rPr>
        <w:t>"</w:t>
      </w:r>
      <w:r w:rsidR="001B28F1">
        <w:rPr>
          <w:rFonts w:eastAsia="Calibri"/>
          <w:spacing w:val="-8"/>
          <w:sz w:val="28"/>
          <w:szCs w:val="28"/>
        </w:rPr>
        <w:t>Жилищный фонд</w:t>
      </w:r>
      <w:r w:rsidR="006E04EF" w:rsidRPr="006E04EF">
        <w:rPr>
          <w:rFonts w:eastAsia="Calibri"/>
          <w:spacing w:val="-8"/>
          <w:sz w:val="28"/>
          <w:szCs w:val="28"/>
        </w:rPr>
        <w:t>"</w:t>
      </w:r>
      <w:r w:rsidR="00A337B4">
        <w:rPr>
          <w:rFonts w:eastAsia="Calibri"/>
          <w:spacing w:val="-8"/>
          <w:sz w:val="28"/>
          <w:szCs w:val="28"/>
        </w:rPr>
        <w:t xml:space="preserve"> (далее – Программа)</w:t>
      </w:r>
      <w:r w:rsidR="004739D9" w:rsidRPr="006E04EF">
        <w:rPr>
          <w:rFonts w:eastAsia="Calibri"/>
          <w:spacing w:val="-8"/>
          <w:sz w:val="28"/>
          <w:szCs w:val="28"/>
        </w:rPr>
        <w:t>.</w:t>
      </w:r>
    </w:p>
    <w:p w:rsidR="00611C42" w:rsidRDefault="00611C42" w:rsidP="00774291">
      <w:pPr>
        <w:spacing w:before="120" w:line="233" w:lineRule="auto"/>
        <w:ind w:firstLine="709"/>
        <w:jc w:val="both"/>
        <w:rPr>
          <w:rFonts w:eastAsia="Calibri"/>
          <w:spacing w:val="-8"/>
          <w:sz w:val="28"/>
          <w:szCs w:val="28"/>
        </w:rPr>
      </w:pPr>
      <w:r>
        <w:rPr>
          <w:rFonts w:eastAsia="Calibri"/>
          <w:spacing w:val="-8"/>
          <w:sz w:val="28"/>
          <w:szCs w:val="28"/>
        </w:rPr>
        <w:t>По итогам проведенной экспертизы подготовлено заключение, в котором отражены замечания, даны соответствующие рекомендации.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B28F1" w:rsidRPr="001B28F1" w:rsidTr="00165DD7">
        <w:trPr>
          <w:trHeight w:val="1562"/>
        </w:trPr>
        <w:tc>
          <w:tcPr>
            <w:tcW w:w="10065" w:type="dxa"/>
            <w:tcBorders>
              <w:top w:val="nil"/>
              <w:left w:val="nil"/>
              <w:bottom w:val="nil"/>
              <w:right w:val="nil"/>
            </w:tcBorders>
            <w:shd w:val="clear" w:color="auto" w:fill="auto"/>
          </w:tcPr>
          <w:p w:rsidR="00FD3664" w:rsidRDefault="00FD3664" w:rsidP="00774291">
            <w:pPr>
              <w:spacing w:line="233" w:lineRule="auto"/>
              <w:ind w:firstLine="709"/>
              <w:jc w:val="both"/>
              <w:rPr>
                <w:rFonts w:eastAsia="Calibri"/>
                <w:spacing w:val="-8"/>
                <w:sz w:val="28"/>
                <w:szCs w:val="28"/>
              </w:rPr>
            </w:pPr>
            <w:r w:rsidRPr="001B28F1">
              <w:rPr>
                <w:rFonts w:eastAsia="Calibri"/>
                <w:spacing w:val="-8"/>
                <w:sz w:val="28"/>
                <w:szCs w:val="28"/>
              </w:rPr>
              <w:t>Основную часть ресурсного обеспечения Программы (59,8 процента) составляют средства федерального бюджета, а также Фонда содействия реформированию жилищно-коммунального хозяйства. За период реализации Программы наибольший удельный вес объема финансирования (64,8 процента) приходится на реализацию подпрограммы "Переселение граждан из аварийного жилищного фонда".</w:t>
            </w:r>
          </w:p>
          <w:p w:rsidR="00FD3664" w:rsidRPr="001B28F1" w:rsidRDefault="00FD3664" w:rsidP="00774291">
            <w:pPr>
              <w:spacing w:line="233" w:lineRule="auto"/>
              <w:ind w:firstLine="709"/>
              <w:jc w:val="both"/>
              <w:rPr>
                <w:rFonts w:eastAsia="Calibri"/>
                <w:spacing w:val="-8"/>
                <w:sz w:val="28"/>
                <w:szCs w:val="28"/>
              </w:rPr>
            </w:pPr>
            <w:r w:rsidRPr="001B28F1">
              <w:rPr>
                <w:rFonts w:eastAsia="Calibri"/>
                <w:spacing w:val="-8"/>
                <w:sz w:val="28"/>
                <w:szCs w:val="28"/>
              </w:rPr>
              <w:t xml:space="preserve">На Управление жилищно-коммунального хозяйства администрации МО ГО "Сыктывкар" приходится лишь 2,6 процента от общего планового объема </w:t>
            </w:r>
            <w:r w:rsidRPr="000E15DF">
              <w:rPr>
                <w:rFonts w:eastAsia="Calibri"/>
                <w:spacing w:val="-8"/>
                <w:sz w:val="28"/>
                <w:szCs w:val="28"/>
              </w:rPr>
              <w:t>финансирования</w:t>
            </w:r>
            <w:r w:rsidRPr="001B28F1">
              <w:rPr>
                <w:rFonts w:eastAsia="Calibri"/>
                <w:spacing w:val="-8"/>
                <w:sz w:val="28"/>
                <w:szCs w:val="28"/>
              </w:rPr>
              <w:t xml:space="preserve"> на 2021 год, в связи с чем, вызывает сомнение обоснованность закрепления за ним функций ответственного исполнителя </w:t>
            </w:r>
            <w:r>
              <w:rPr>
                <w:rFonts w:eastAsia="Calibri"/>
                <w:spacing w:val="-8"/>
                <w:sz w:val="28"/>
                <w:szCs w:val="28"/>
              </w:rPr>
              <w:t>П</w:t>
            </w:r>
            <w:r w:rsidRPr="001B28F1">
              <w:rPr>
                <w:rFonts w:eastAsia="Calibri"/>
                <w:spacing w:val="-8"/>
                <w:sz w:val="28"/>
                <w:szCs w:val="28"/>
              </w:rPr>
              <w:t xml:space="preserve">рограммы. </w:t>
            </w:r>
          </w:p>
          <w:p w:rsidR="00FD3664" w:rsidRPr="001B28F1" w:rsidRDefault="00FD3664" w:rsidP="00774291">
            <w:pPr>
              <w:tabs>
                <w:tab w:val="left" w:pos="-3780"/>
                <w:tab w:val="left" w:pos="-3600"/>
                <w:tab w:val="left" w:pos="601"/>
              </w:tabs>
              <w:spacing w:line="233" w:lineRule="auto"/>
              <w:ind w:firstLine="709"/>
              <w:jc w:val="both"/>
              <w:rPr>
                <w:rFonts w:eastAsia="Calibri"/>
                <w:spacing w:val="-8"/>
                <w:sz w:val="28"/>
                <w:szCs w:val="28"/>
              </w:rPr>
            </w:pPr>
            <w:r w:rsidRPr="001B28F1">
              <w:rPr>
                <w:rFonts w:eastAsia="Calibri"/>
                <w:spacing w:val="-8"/>
                <w:sz w:val="28"/>
                <w:szCs w:val="28"/>
              </w:rPr>
              <w:t xml:space="preserve">В рамках Программы в 2020-2021 годах осуществлялась реализация 5 инвестиционных проектов. На их реализацию в указанном периоде направлено </w:t>
            </w:r>
            <w:r w:rsidRPr="00FD3664">
              <w:rPr>
                <w:rFonts w:eastAsia="Calibri"/>
                <w:spacing w:val="-8"/>
                <w:sz w:val="28"/>
                <w:szCs w:val="28"/>
              </w:rPr>
              <w:br/>
            </w:r>
            <w:r w:rsidRPr="001B28F1">
              <w:rPr>
                <w:rFonts w:eastAsia="Calibri"/>
                <w:spacing w:val="-8"/>
                <w:sz w:val="28"/>
                <w:szCs w:val="28"/>
              </w:rPr>
              <w:t>249</w:t>
            </w:r>
            <w:r w:rsidRPr="00FD3664">
              <w:rPr>
                <w:rFonts w:eastAsia="Calibri"/>
                <w:spacing w:val="-8"/>
                <w:sz w:val="28"/>
                <w:szCs w:val="28"/>
              </w:rPr>
              <w:t> </w:t>
            </w:r>
            <w:r w:rsidRPr="001B28F1">
              <w:rPr>
                <w:rFonts w:eastAsia="Calibri"/>
                <w:spacing w:val="-8"/>
                <w:sz w:val="28"/>
                <w:szCs w:val="28"/>
              </w:rPr>
              <w:t xml:space="preserve">797,7 тыс. рублей. На момент подготовки заключения, реализация 3 инвестиционных проектов завершена, 2 – продолжают реализовываться. </w:t>
            </w:r>
          </w:p>
          <w:p w:rsidR="001B28F1" w:rsidRDefault="001B28F1" w:rsidP="00774291">
            <w:pPr>
              <w:spacing w:line="233" w:lineRule="auto"/>
              <w:ind w:firstLine="709"/>
              <w:jc w:val="both"/>
              <w:rPr>
                <w:rFonts w:eastAsia="Calibri"/>
                <w:spacing w:val="-8"/>
                <w:sz w:val="28"/>
                <w:szCs w:val="28"/>
              </w:rPr>
            </w:pPr>
            <w:r w:rsidRPr="001B28F1">
              <w:rPr>
                <w:rFonts w:eastAsia="Calibri"/>
                <w:spacing w:val="-8"/>
                <w:sz w:val="28"/>
                <w:szCs w:val="28"/>
              </w:rPr>
              <w:t xml:space="preserve">Несмотря на заявленные цели социально-экономического развития и обозначенные проблемы в сфере жилищно-коммунального хозяйства, Стратегия </w:t>
            </w:r>
            <w:r w:rsidR="00165DD7" w:rsidRPr="000E15DF">
              <w:rPr>
                <w:rFonts w:eastAsia="Calibri"/>
                <w:spacing w:val="-8"/>
                <w:sz w:val="28"/>
                <w:szCs w:val="28"/>
              </w:rPr>
              <w:t xml:space="preserve">социально-экономического развития МО ГО "Сыктывкар" до 2035 года, утвержденная </w:t>
            </w:r>
            <w:r w:rsidR="00165DD7" w:rsidRPr="000E15DF">
              <w:rPr>
                <w:rFonts w:eastAsia="Calibri"/>
                <w:spacing w:val="-8"/>
                <w:sz w:val="28"/>
                <w:szCs w:val="28"/>
              </w:rPr>
              <w:t>решение</w:t>
            </w:r>
            <w:r w:rsidR="00165DD7" w:rsidRPr="000E15DF">
              <w:rPr>
                <w:rFonts w:eastAsia="Calibri"/>
                <w:spacing w:val="-8"/>
                <w:sz w:val="28"/>
                <w:szCs w:val="28"/>
              </w:rPr>
              <w:t>м</w:t>
            </w:r>
            <w:r w:rsidR="00165DD7" w:rsidRPr="000E15DF">
              <w:rPr>
                <w:rFonts w:eastAsia="Calibri"/>
                <w:spacing w:val="-8"/>
                <w:sz w:val="28"/>
                <w:szCs w:val="28"/>
              </w:rPr>
              <w:t xml:space="preserve"> Совета МО ГО "Сыктыв</w:t>
            </w:r>
            <w:r w:rsidR="007A54D3" w:rsidRPr="000E15DF">
              <w:rPr>
                <w:rFonts w:eastAsia="Calibri"/>
                <w:spacing w:val="-8"/>
                <w:sz w:val="28"/>
                <w:szCs w:val="28"/>
              </w:rPr>
              <w:t xml:space="preserve">кар" от 08.07.2011 № 03/2011-61, </w:t>
            </w:r>
            <w:r w:rsidRPr="001B28F1">
              <w:rPr>
                <w:rFonts w:eastAsia="Calibri"/>
                <w:spacing w:val="-8"/>
                <w:sz w:val="28"/>
                <w:szCs w:val="28"/>
              </w:rPr>
              <w:t xml:space="preserve">не содержит целевых показателей, характеризующих состояние жилищного фонда города. </w:t>
            </w:r>
          </w:p>
          <w:p w:rsidR="00FD3664" w:rsidRPr="001B28F1" w:rsidRDefault="00FD3664" w:rsidP="00774291">
            <w:pPr>
              <w:spacing w:line="233" w:lineRule="auto"/>
              <w:ind w:firstLine="709"/>
              <w:jc w:val="both"/>
              <w:rPr>
                <w:rFonts w:eastAsia="Calibri"/>
                <w:spacing w:val="-8"/>
                <w:sz w:val="28"/>
                <w:szCs w:val="28"/>
              </w:rPr>
            </w:pPr>
            <w:r w:rsidRPr="001B28F1">
              <w:rPr>
                <w:rFonts w:eastAsia="Calibri"/>
                <w:spacing w:val="-8"/>
                <w:sz w:val="28"/>
                <w:szCs w:val="28"/>
              </w:rPr>
              <w:t>В Программу</w:t>
            </w:r>
            <w:r w:rsidR="001254AE">
              <w:rPr>
                <w:rFonts w:eastAsia="Calibri"/>
                <w:spacing w:val="-8"/>
                <w:sz w:val="28"/>
                <w:szCs w:val="28"/>
              </w:rPr>
              <w:t xml:space="preserve"> также</w:t>
            </w:r>
            <w:r w:rsidRPr="001B28F1">
              <w:rPr>
                <w:rFonts w:eastAsia="Calibri"/>
                <w:spacing w:val="-8"/>
                <w:sz w:val="28"/>
                <w:szCs w:val="28"/>
              </w:rPr>
              <w:t xml:space="preserve"> включены только целевые индикаторы, характеризующие деятельность исполнителей Программы</w:t>
            </w:r>
            <w:r w:rsidR="001254AE">
              <w:rPr>
                <w:rFonts w:eastAsia="Calibri"/>
                <w:spacing w:val="-8"/>
                <w:sz w:val="28"/>
                <w:szCs w:val="28"/>
              </w:rPr>
              <w:t>,</w:t>
            </w:r>
            <w:r w:rsidRPr="001B28F1">
              <w:rPr>
                <w:rFonts w:eastAsia="Calibri"/>
                <w:spacing w:val="-8"/>
                <w:sz w:val="28"/>
                <w:szCs w:val="28"/>
              </w:rPr>
              <w:t xml:space="preserve"> </w:t>
            </w:r>
            <w:r w:rsidR="001254AE">
              <w:rPr>
                <w:rFonts w:eastAsia="Calibri"/>
                <w:spacing w:val="-8"/>
                <w:sz w:val="28"/>
                <w:szCs w:val="28"/>
              </w:rPr>
              <w:t>к</w:t>
            </w:r>
            <w:r w:rsidRPr="001B28F1">
              <w:rPr>
                <w:rFonts w:eastAsia="Calibri"/>
                <w:spacing w:val="-8"/>
                <w:sz w:val="28"/>
                <w:szCs w:val="28"/>
              </w:rPr>
              <w:t xml:space="preserve">ачественные показатели, позволяющие оценить состояние жилищного фонда города, не предусмотрены. </w:t>
            </w:r>
          </w:p>
          <w:p w:rsidR="001B28F1" w:rsidRPr="001B28F1" w:rsidRDefault="001B28F1" w:rsidP="00774291">
            <w:pPr>
              <w:spacing w:line="233" w:lineRule="auto"/>
              <w:ind w:firstLine="709"/>
              <w:jc w:val="both"/>
              <w:rPr>
                <w:rFonts w:eastAsia="Calibri"/>
                <w:spacing w:val="-8"/>
                <w:sz w:val="28"/>
                <w:szCs w:val="28"/>
              </w:rPr>
            </w:pPr>
            <w:proofErr w:type="gramStart"/>
            <w:r w:rsidRPr="001B28F1">
              <w:rPr>
                <w:rFonts w:eastAsia="Calibri"/>
                <w:spacing w:val="-8"/>
                <w:sz w:val="28"/>
                <w:szCs w:val="28"/>
              </w:rPr>
              <w:t xml:space="preserve">Ожидаемый результат </w:t>
            </w:r>
            <w:r w:rsidR="00C340F9" w:rsidRPr="000E15DF">
              <w:rPr>
                <w:rFonts w:eastAsia="Calibri"/>
                <w:spacing w:val="-8"/>
                <w:sz w:val="28"/>
                <w:szCs w:val="28"/>
              </w:rPr>
              <w:t>в паспорте</w:t>
            </w:r>
            <w:r w:rsidR="00C340F9" w:rsidRPr="000E15DF">
              <w:rPr>
                <w:rFonts w:eastAsia="Calibri"/>
                <w:spacing w:val="-8"/>
                <w:sz w:val="28"/>
                <w:szCs w:val="28"/>
              </w:rPr>
              <w:t xml:space="preserve"> </w:t>
            </w:r>
            <w:r w:rsidR="00C340F9" w:rsidRPr="001B28F1">
              <w:rPr>
                <w:rFonts w:eastAsia="Calibri"/>
                <w:spacing w:val="-8"/>
                <w:sz w:val="28"/>
                <w:szCs w:val="28"/>
              </w:rPr>
              <w:t>подпрограммы "Переселение граждан из аварийного жилищного фонда"</w:t>
            </w:r>
            <w:r w:rsidR="00C340F9" w:rsidRPr="000E15DF">
              <w:rPr>
                <w:rFonts w:eastAsia="Calibri"/>
                <w:spacing w:val="-8"/>
                <w:sz w:val="28"/>
                <w:szCs w:val="28"/>
              </w:rPr>
              <w:t xml:space="preserve"> </w:t>
            </w:r>
            <w:r w:rsidR="00C340F9" w:rsidRPr="000E15DF">
              <w:rPr>
                <w:rFonts w:eastAsia="Calibri"/>
                <w:spacing w:val="-8"/>
                <w:sz w:val="28"/>
                <w:szCs w:val="28"/>
              </w:rPr>
              <w:t>–</w:t>
            </w:r>
            <w:r w:rsidR="00C340F9" w:rsidRPr="000E15DF">
              <w:rPr>
                <w:rFonts w:eastAsia="Calibri"/>
                <w:spacing w:val="-8"/>
                <w:sz w:val="28"/>
                <w:szCs w:val="28"/>
              </w:rPr>
              <w:t xml:space="preserve"> </w:t>
            </w:r>
            <w:r w:rsidRPr="001B28F1">
              <w:rPr>
                <w:rFonts w:eastAsia="Calibri"/>
                <w:spacing w:val="-8"/>
                <w:sz w:val="28"/>
                <w:szCs w:val="28"/>
              </w:rPr>
              <w:t xml:space="preserve">"Переселение в 2020 - 2025 годах из аварийного жилищного фонда не менее 800 граждан" не соотносится с индикатором таблицы 1 Программы </w:t>
            </w:r>
            <w:r w:rsidR="00C340F9" w:rsidRPr="000E15DF">
              <w:rPr>
                <w:rFonts w:eastAsia="Calibri"/>
                <w:spacing w:val="-8"/>
                <w:sz w:val="28"/>
                <w:szCs w:val="28"/>
              </w:rPr>
              <w:t>–</w:t>
            </w:r>
            <w:r w:rsidR="00C340F9" w:rsidRPr="000E15DF">
              <w:rPr>
                <w:rFonts w:eastAsia="Calibri"/>
                <w:spacing w:val="-8"/>
                <w:sz w:val="28"/>
                <w:szCs w:val="28"/>
              </w:rPr>
              <w:t xml:space="preserve"> </w:t>
            </w:r>
            <w:r w:rsidRPr="001B28F1">
              <w:rPr>
                <w:rFonts w:eastAsia="Calibri"/>
                <w:spacing w:val="-8"/>
                <w:sz w:val="28"/>
                <w:szCs w:val="28"/>
              </w:rPr>
              <w:t>"Количество граждан, переселенных из аварийного жилищного фонда", который составляет в целом 645 человек, что ставит под сомнение достижение непосредственного ожидаемого результата.</w:t>
            </w:r>
            <w:proofErr w:type="gramEnd"/>
          </w:p>
          <w:p w:rsidR="001B28F1" w:rsidRPr="001B28F1" w:rsidRDefault="001B28F1" w:rsidP="00774291">
            <w:pPr>
              <w:tabs>
                <w:tab w:val="left" w:pos="284"/>
              </w:tabs>
              <w:spacing w:line="233" w:lineRule="auto"/>
              <w:ind w:firstLine="709"/>
              <w:jc w:val="both"/>
              <w:rPr>
                <w:rFonts w:eastAsia="Calibri"/>
                <w:spacing w:val="-8"/>
                <w:sz w:val="28"/>
                <w:szCs w:val="28"/>
              </w:rPr>
            </w:pPr>
            <w:r w:rsidRPr="001B28F1">
              <w:rPr>
                <w:rFonts w:eastAsia="Calibri"/>
                <w:spacing w:val="-8"/>
                <w:sz w:val="28"/>
                <w:szCs w:val="28"/>
              </w:rPr>
              <w:t xml:space="preserve">В Программе не предусмотрены индикаторы, позволяющие оценить степень достижения </w:t>
            </w:r>
            <w:r w:rsidR="00C340F9" w:rsidRPr="001B28F1">
              <w:rPr>
                <w:rFonts w:eastAsia="Calibri"/>
                <w:spacing w:val="-8"/>
                <w:sz w:val="28"/>
                <w:szCs w:val="28"/>
              </w:rPr>
              <w:t>ожидаемых результатов</w:t>
            </w:r>
            <w:r w:rsidR="00C340F9" w:rsidRPr="000E15DF">
              <w:rPr>
                <w:rFonts w:eastAsia="Calibri"/>
                <w:spacing w:val="-8"/>
                <w:sz w:val="28"/>
                <w:szCs w:val="28"/>
              </w:rPr>
              <w:t xml:space="preserve"> </w:t>
            </w:r>
            <w:r w:rsidRPr="001B28F1">
              <w:rPr>
                <w:rFonts w:eastAsia="Calibri"/>
                <w:spacing w:val="-8"/>
                <w:sz w:val="28"/>
                <w:szCs w:val="28"/>
              </w:rPr>
              <w:t xml:space="preserve">подпрограммы "Переселение граждан из аварийного жилищного фонда": "Приобретение жилья общей площадью с финансовой поддержкой Фонда не менее 5000 </w:t>
            </w:r>
            <w:proofErr w:type="spellStart"/>
            <w:r w:rsidRPr="001B28F1">
              <w:rPr>
                <w:rFonts w:eastAsia="Calibri"/>
                <w:spacing w:val="-8"/>
                <w:sz w:val="28"/>
                <w:szCs w:val="28"/>
              </w:rPr>
              <w:t>кв</w:t>
            </w:r>
            <w:proofErr w:type="gramStart"/>
            <w:r w:rsidRPr="001B28F1">
              <w:rPr>
                <w:rFonts w:eastAsia="Calibri"/>
                <w:spacing w:val="-8"/>
                <w:sz w:val="28"/>
                <w:szCs w:val="28"/>
              </w:rPr>
              <w:t>.м</w:t>
            </w:r>
            <w:proofErr w:type="spellEnd"/>
            <w:proofErr w:type="gramEnd"/>
            <w:r w:rsidRPr="001B28F1">
              <w:rPr>
                <w:rFonts w:eastAsia="Calibri"/>
                <w:spacing w:val="-8"/>
                <w:sz w:val="28"/>
                <w:szCs w:val="28"/>
              </w:rPr>
              <w:t xml:space="preserve">" и "Выкуп жилых помещений у собственников с финансовой поддержкой Фонда не менее 9000 </w:t>
            </w:r>
            <w:proofErr w:type="spellStart"/>
            <w:r w:rsidRPr="001B28F1">
              <w:rPr>
                <w:rFonts w:eastAsia="Calibri"/>
                <w:spacing w:val="-8"/>
                <w:sz w:val="28"/>
                <w:szCs w:val="28"/>
              </w:rPr>
              <w:t>кв.м</w:t>
            </w:r>
            <w:proofErr w:type="spellEnd"/>
            <w:r w:rsidRPr="001B28F1">
              <w:rPr>
                <w:rFonts w:eastAsia="Calibri"/>
                <w:spacing w:val="-8"/>
                <w:sz w:val="28"/>
                <w:szCs w:val="28"/>
              </w:rPr>
              <w:t xml:space="preserve">". </w:t>
            </w:r>
          </w:p>
          <w:p w:rsidR="001B28F1" w:rsidRPr="001B28F1" w:rsidRDefault="001B28F1" w:rsidP="00774291">
            <w:pPr>
              <w:spacing w:line="233" w:lineRule="auto"/>
              <w:ind w:firstLine="709"/>
              <w:jc w:val="both"/>
              <w:rPr>
                <w:rFonts w:eastAsia="Calibri"/>
                <w:spacing w:val="-8"/>
                <w:sz w:val="28"/>
                <w:szCs w:val="28"/>
              </w:rPr>
            </w:pPr>
            <w:r w:rsidRPr="001B28F1">
              <w:rPr>
                <w:rFonts w:eastAsia="Calibri"/>
                <w:spacing w:val="-8"/>
                <w:sz w:val="28"/>
                <w:szCs w:val="28"/>
              </w:rPr>
              <w:t xml:space="preserve">Ожидаемый результат </w:t>
            </w:r>
            <w:r w:rsidR="00C340F9" w:rsidRPr="001B28F1">
              <w:rPr>
                <w:rFonts w:eastAsia="Calibri"/>
                <w:spacing w:val="-8"/>
                <w:sz w:val="28"/>
                <w:szCs w:val="28"/>
              </w:rPr>
              <w:t>подпрограммы "Обеспечение создания условий для реализации муниципальной программы"</w:t>
            </w:r>
            <w:r w:rsidR="00C340F9" w:rsidRPr="000E15DF">
              <w:rPr>
                <w:rFonts w:eastAsia="Calibri"/>
                <w:spacing w:val="-8"/>
                <w:sz w:val="28"/>
                <w:szCs w:val="28"/>
              </w:rPr>
              <w:t xml:space="preserve"> </w:t>
            </w:r>
            <w:r w:rsidR="00C340F9" w:rsidRPr="000E15DF">
              <w:rPr>
                <w:rFonts w:eastAsia="Calibri"/>
                <w:spacing w:val="-8"/>
                <w:sz w:val="28"/>
                <w:szCs w:val="28"/>
              </w:rPr>
              <w:t>–</w:t>
            </w:r>
            <w:r w:rsidR="00C340F9" w:rsidRPr="000E15DF">
              <w:rPr>
                <w:rFonts w:eastAsia="Calibri"/>
                <w:spacing w:val="-8"/>
                <w:sz w:val="28"/>
                <w:szCs w:val="28"/>
              </w:rPr>
              <w:t xml:space="preserve"> </w:t>
            </w:r>
            <w:r w:rsidRPr="001B28F1">
              <w:rPr>
                <w:rFonts w:eastAsia="Calibri"/>
                <w:spacing w:val="-8"/>
                <w:sz w:val="28"/>
                <w:szCs w:val="28"/>
              </w:rPr>
              <w:t xml:space="preserve">"Ежегодное достижение значений муниципального задания Муниципального бюджетного учреждения "Городской жилищный центр" в полном объеме" не соотносится с показателем таблицы 1 Программы, предусматривающим ежегодный "Уровень выполнения муниципальным </w:t>
            </w:r>
            <w:r w:rsidRPr="001B28F1">
              <w:rPr>
                <w:rFonts w:eastAsia="Calibri"/>
                <w:spacing w:val="-8"/>
                <w:sz w:val="28"/>
                <w:szCs w:val="28"/>
              </w:rPr>
              <w:lastRenderedPageBreak/>
              <w:t xml:space="preserve">учреждением муниципального задания (на конец года)" в размере 95 процентов. </w:t>
            </w:r>
          </w:p>
          <w:p w:rsidR="001B28F1" w:rsidRPr="001B28F1" w:rsidRDefault="001B28F1" w:rsidP="00774291">
            <w:pPr>
              <w:tabs>
                <w:tab w:val="left" w:pos="601"/>
              </w:tabs>
              <w:spacing w:line="233" w:lineRule="auto"/>
              <w:ind w:firstLine="709"/>
              <w:jc w:val="both"/>
              <w:rPr>
                <w:rFonts w:eastAsia="Calibri"/>
                <w:spacing w:val="-8"/>
                <w:sz w:val="28"/>
                <w:szCs w:val="28"/>
              </w:rPr>
            </w:pPr>
            <w:r w:rsidRPr="001B28F1">
              <w:rPr>
                <w:rFonts w:eastAsia="Calibri"/>
                <w:spacing w:val="-8"/>
                <w:sz w:val="28"/>
                <w:szCs w:val="28"/>
              </w:rPr>
              <w:t xml:space="preserve">Два показателя Программы отражают не в полном объеме исполнение обязательств: по оплате по взносам в Региональный фонд капитального ремонта многоквартирных домов Республики Коми и за жилищно-коммунальные услуги перед </w:t>
            </w:r>
            <w:proofErr w:type="spellStart"/>
            <w:r w:rsidRPr="001B28F1">
              <w:rPr>
                <w:rFonts w:eastAsia="Calibri"/>
                <w:spacing w:val="-8"/>
                <w:sz w:val="28"/>
                <w:szCs w:val="28"/>
              </w:rPr>
              <w:t>ресурсоснабжающими</w:t>
            </w:r>
            <w:proofErr w:type="spellEnd"/>
            <w:r w:rsidRPr="001B28F1">
              <w:rPr>
                <w:rFonts w:eastAsia="Calibri"/>
                <w:spacing w:val="-8"/>
                <w:sz w:val="28"/>
                <w:szCs w:val="28"/>
              </w:rPr>
              <w:t xml:space="preserve"> организациями.</w:t>
            </w:r>
          </w:p>
          <w:p w:rsidR="00774291" w:rsidRPr="001B28F1" w:rsidRDefault="00774291" w:rsidP="00774291">
            <w:pPr>
              <w:tabs>
                <w:tab w:val="left" w:pos="176"/>
              </w:tabs>
              <w:spacing w:line="233" w:lineRule="auto"/>
              <w:ind w:firstLine="709"/>
              <w:jc w:val="both"/>
              <w:rPr>
                <w:rFonts w:eastAsia="Calibri"/>
                <w:spacing w:val="-8"/>
                <w:sz w:val="28"/>
                <w:szCs w:val="28"/>
              </w:rPr>
            </w:pPr>
            <w:r w:rsidRPr="001B28F1">
              <w:rPr>
                <w:rFonts w:eastAsia="Calibri"/>
                <w:spacing w:val="-8"/>
                <w:sz w:val="28"/>
                <w:szCs w:val="28"/>
              </w:rPr>
              <w:t xml:space="preserve">Методика расчета целевых показателей (индикаторов) муниципальной программы отсутствует, что не соответствует </w:t>
            </w:r>
            <w:r w:rsidRPr="00FD3664">
              <w:rPr>
                <w:rFonts w:eastAsia="Calibri"/>
                <w:spacing w:val="-8"/>
                <w:sz w:val="28"/>
                <w:szCs w:val="28"/>
              </w:rPr>
              <w:t>Методическим указаниям по разработке и реализации муниципальных программ МО ГО "Сыктывкар,</w:t>
            </w:r>
            <w:r w:rsidRPr="000E15DF">
              <w:rPr>
                <w:rFonts w:eastAsia="Calibri"/>
                <w:spacing w:val="-8"/>
                <w:sz w:val="28"/>
                <w:szCs w:val="28"/>
              </w:rPr>
              <w:t xml:space="preserve"> утвержденн</w:t>
            </w:r>
            <w:r>
              <w:rPr>
                <w:rFonts w:eastAsia="Calibri"/>
                <w:spacing w:val="-8"/>
                <w:sz w:val="28"/>
                <w:szCs w:val="28"/>
              </w:rPr>
              <w:t>ы</w:t>
            </w:r>
            <w:r w:rsidRPr="000E15DF">
              <w:rPr>
                <w:rFonts w:eastAsia="Calibri"/>
                <w:spacing w:val="-8"/>
                <w:sz w:val="28"/>
                <w:szCs w:val="28"/>
              </w:rPr>
              <w:t>м постановлением администрации МО ГО "Сыктывкар" от 29.06.2012 № 6/2281</w:t>
            </w:r>
            <w:r w:rsidRPr="001B28F1">
              <w:rPr>
                <w:rFonts w:eastAsia="Calibri"/>
                <w:spacing w:val="-8"/>
                <w:sz w:val="28"/>
                <w:szCs w:val="28"/>
              </w:rPr>
              <w:t>.</w:t>
            </w:r>
          </w:p>
          <w:p w:rsidR="00FD3664" w:rsidRPr="001B28F1" w:rsidRDefault="00FD3664" w:rsidP="00774291">
            <w:pPr>
              <w:spacing w:line="233" w:lineRule="auto"/>
              <w:ind w:firstLine="709"/>
              <w:jc w:val="both"/>
              <w:rPr>
                <w:rFonts w:eastAsia="Calibri"/>
                <w:spacing w:val="-8"/>
                <w:sz w:val="28"/>
                <w:szCs w:val="28"/>
              </w:rPr>
            </w:pPr>
            <w:r w:rsidRPr="001B28F1">
              <w:rPr>
                <w:rFonts w:eastAsia="Calibri"/>
                <w:spacing w:val="-8"/>
                <w:sz w:val="28"/>
                <w:szCs w:val="28"/>
              </w:rPr>
              <w:t>В ходе анализа установлены технические ошибки и иные замечания к таблице 1 Программы, требующие корректировки показателей.</w:t>
            </w:r>
          </w:p>
          <w:p w:rsidR="001B28F1" w:rsidRPr="001B28F1" w:rsidRDefault="001B28F1" w:rsidP="00774291">
            <w:pPr>
              <w:tabs>
                <w:tab w:val="left" w:pos="-3780"/>
                <w:tab w:val="left" w:pos="-3600"/>
                <w:tab w:val="left" w:pos="601"/>
              </w:tabs>
              <w:spacing w:line="233" w:lineRule="auto"/>
              <w:ind w:firstLine="709"/>
              <w:jc w:val="both"/>
              <w:rPr>
                <w:rFonts w:eastAsia="Calibri"/>
                <w:spacing w:val="-8"/>
                <w:sz w:val="28"/>
                <w:szCs w:val="28"/>
              </w:rPr>
            </w:pPr>
            <w:r w:rsidRPr="001B28F1">
              <w:rPr>
                <w:rFonts w:eastAsia="Calibri"/>
                <w:spacing w:val="-8"/>
                <w:sz w:val="28"/>
                <w:szCs w:val="28"/>
              </w:rPr>
              <w:t xml:space="preserve">В ходе проведения анализа выявлены расхождения значений конечного и непосредственного результата Программы с Планом реализации на 2020 год, а также Планом реализации на 2021 год, что не соответствует </w:t>
            </w:r>
            <w:r w:rsidR="000E15DF" w:rsidRPr="000E15DF">
              <w:rPr>
                <w:rFonts w:eastAsia="Calibri"/>
                <w:spacing w:val="-8"/>
                <w:sz w:val="28"/>
                <w:szCs w:val="28"/>
              </w:rPr>
              <w:t>Поряд</w:t>
            </w:r>
            <w:r w:rsidR="000E15DF" w:rsidRPr="000E15DF">
              <w:rPr>
                <w:rFonts w:eastAsia="Calibri"/>
                <w:spacing w:val="-8"/>
                <w:sz w:val="28"/>
                <w:szCs w:val="28"/>
              </w:rPr>
              <w:t>ку</w:t>
            </w:r>
            <w:r w:rsidR="000E15DF" w:rsidRPr="000E15DF">
              <w:rPr>
                <w:rFonts w:eastAsia="Calibri"/>
                <w:spacing w:val="-8"/>
                <w:sz w:val="28"/>
                <w:szCs w:val="28"/>
              </w:rPr>
              <w:t xml:space="preserve"> разработки, реализации и оценки эффективности муниципальных программ МО ГО "Сыктывкар"</w:t>
            </w:r>
            <w:r w:rsidRPr="001B28F1">
              <w:rPr>
                <w:rFonts w:eastAsia="Calibri"/>
                <w:spacing w:val="-8"/>
                <w:sz w:val="28"/>
                <w:szCs w:val="28"/>
              </w:rPr>
              <w:t xml:space="preserve">, </w:t>
            </w:r>
            <w:r w:rsidR="000E15DF" w:rsidRPr="000E15DF">
              <w:rPr>
                <w:rFonts w:eastAsia="Calibri"/>
                <w:spacing w:val="-8"/>
                <w:sz w:val="28"/>
                <w:szCs w:val="28"/>
              </w:rPr>
              <w:t>утвержденному постановлением администрации МО ГО "Сыктывкар" от 29.06.2012 № 6/2281</w:t>
            </w:r>
            <w:r w:rsidRPr="001B28F1">
              <w:rPr>
                <w:rFonts w:eastAsia="Calibri"/>
                <w:spacing w:val="-8"/>
                <w:sz w:val="28"/>
                <w:szCs w:val="28"/>
              </w:rPr>
              <w:t xml:space="preserve">. </w:t>
            </w:r>
          </w:p>
          <w:p w:rsidR="001B28F1" w:rsidRPr="001B28F1" w:rsidRDefault="001B28F1" w:rsidP="00774291">
            <w:pPr>
              <w:tabs>
                <w:tab w:val="left" w:pos="-3780"/>
                <w:tab w:val="left" w:pos="-3600"/>
                <w:tab w:val="left" w:pos="601"/>
              </w:tabs>
              <w:spacing w:line="233" w:lineRule="auto"/>
              <w:ind w:firstLine="709"/>
              <w:jc w:val="both"/>
              <w:rPr>
                <w:rFonts w:eastAsia="Calibri"/>
                <w:spacing w:val="-8"/>
                <w:sz w:val="28"/>
                <w:szCs w:val="28"/>
              </w:rPr>
            </w:pPr>
            <w:r w:rsidRPr="001B28F1">
              <w:rPr>
                <w:rFonts w:eastAsia="Calibri"/>
                <w:spacing w:val="-8"/>
                <w:sz w:val="28"/>
                <w:szCs w:val="28"/>
              </w:rPr>
              <w:t xml:space="preserve">При проведении анализа Годового отчета о ходе реализации и оценке эффективности муниципальной программы, установлены отдельные замечания к содержанию таблицы 5 "Сведения о достижении значений целевых индикаторов и показателей". </w:t>
            </w:r>
          </w:p>
          <w:p w:rsidR="001B28F1" w:rsidRPr="001B28F1" w:rsidRDefault="001B28F1" w:rsidP="00774291">
            <w:pPr>
              <w:tabs>
                <w:tab w:val="left" w:pos="-3780"/>
                <w:tab w:val="left" w:pos="-3600"/>
                <w:tab w:val="left" w:pos="601"/>
              </w:tabs>
              <w:spacing w:line="233" w:lineRule="auto"/>
              <w:ind w:firstLine="709"/>
              <w:jc w:val="both"/>
              <w:rPr>
                <w:rFonts w:eastAsia="Calibri"/>
                <w:color w:val="0070C0"/>
                <w:spacing w:val="-8"/>
                <w:sz w:val="28"/>
                <w:szCs w:val="28"/>
              </w:rPr>
            </w:pPr>
            <w:r w:rsidRPr="001B28F1">
              <w:rPr>
                <w:rFonts w:eastAsia="Calibri"/>
                <w:spacing w:val="-8"/>
                <w:sz w:val="28"/>
                <w:szCs w:val="28"/>
              </w:rPr>
              <w:t xml:space="preserve">Несоответствие показателей Плана реализации на 2020 год с Программой, а также наличие ошибок в Годовом отчете о ходе реализации и оценке эффективности муниципальной программы привело к неправильным выводам об ее эффективности в 2020 году. С учетом перерасчета показателей анкеты, итоговая рейтинговая оценка эффективности составляет 80,95 вместо 87,45 баллов, что в соответствии с Методическими указаниями снижает качественную оценку Программы с уровня эффективности "Эффективна" </w:t>
            </w:r>
            <w:proofErr w:type="gramStart"/>
            <w:r w:rsidRPr="001B28F1">
              <w:rPr>
                <w:rFonts w:eastAsia="Calibri"/>
                <w:spacing w:val="-8"/>
                <w:sz w:val="28"/>
                <w:szCs w:val="28"/>
              </w:rPr>
              <w:t>до</w:t>
            </w:r>
            <w:proofErr w:type="gramEnd"/>
            <w:r w:rsidRPr="001B28F1">
              <w:rPr>
                <w:rFonts w:eastAsia="Calibri"/>
                <w:spacing w:val="-8"/>
                <w:sz w:val="28"/>
                <w:szCs w:val="28"/>
              </w:rPr>
              <w:t xml:space="preserve"> "Умеренно эффективна".</w:t>
            </w:r>
          </w:p>
        </w:tc>
      </w:tr>
      <w:tr w:rsidR="001B28F1" w:rsidRPr="001B28F1" w:rsidTr="00165DD7">
        <w:trPr>
          <w:trHeight w:val="711"/>
        </w:trPr>
        <w:tc>
          <w:tcPr>
            <w:tcW w:w="10065" w:type="dxa"/>
            <w:tcBorders>
              <w:top w:val="nil"/>
              <w:left w:val="nil"/>
              <w:bottom w:val="nil"/>
              <w:right w:val="nil"/>
            </w:tcBorders>
          </w:tcPr>
          <w:p w:rsidR="001B28F1" w:rsidRPr="001B28F1" w:rsidRDefault="00931B04" w:rsidP="00774291">
            <w:pPr>
              <w:spacing w:before="120" w:line="233" w:lineRule="auto"/>
              <w:ind w:firstLine="709"/>
              <w:jc w:val="both"/>
              <w:rPr>
                <w:rFonts w:eastAsia="Calibri"/>
                <w:spacing w:val="-8"/>
                <w:sz w:val="28"/>
                <w:szCs w:val="28"/>
              </w:rPr>
            </w:pPr>
            <w:r w:rsidRPr="00782D3A">
              <w:rPr>
                <w:rFonts w:eastAsia="Calibri"/>
                <w:spacing w:val="-8"/>
                <w:sz w:val="28"/>
                <w:szCs w:val="28"/>
              </w:rPr>
              <w:lastRenderedPageBreak/>
              <w:t xml:space="preserve">По результатам </w:t>
            </w:r>
            <w:r w:rsidR="001B28F1" w:rsidRPr="001B28F1">
              <w:rPr>
                <w:rFonts w:eastAsia="Calibri"/>
                <w:spacing w:val="-8"/>
                <w:sz w:val="28"/>
                <w:szCs w:val="28"/>
              </w:rPr>
              <w:t xml:space="preserve">экспертизы </w:t>
            </w:r>
            <w:r w:rsidRPr="00782D3A">
              <w:rPr>
                <w:rFonts w:eastAsia="Calibri"/>
                <w:spacing w:val="-8"/>
                <w:sz w:val="28"/>
                <w:szCs w:val="28"/>
              </w:rPr>
              <w:t>рекомен</w:t>
            </w:r>
            <w:r w:rsidR="00FD3664" w:rsidRPr="00782D3A">
              <w:rPr>
                <w:rFonts w:eastAsia="Calibri"/>
                <w:spacing w:val="-8"/>
                <w:sz w:val="28"/>
                <w:szCs w:val="28"/>
              </w:rPr>
              <w:t>д</w:t>
            </w:r>
            <w:r w:rsidRPr="00782D3A">
              <w:rPr>
                <w:rFonts w:eastAsia="Calibri"/>
                <w:spacing w:val="-8"/>
                <w:sz w:val="28"/>
                <w:szCs w:val="28"/>
              </w:rPr>
              <w:t>овано</w:t>
            </w:r>
            <w:r w:rsidR="001B28F1" w:rsidRPr="001B28F1">
              <w:rPr>
                <w:rFonts w:eastAsia="Calibri"/>
                <w:spacing w:val="-8"/>
                <w:sz w:val="28"/>
                <w:szCs w:val="28"/>
              </w:rPr>
              <w:t xml:space="preserve"> рассмотреть следующие вопросы:</w:t>
            </w:r>
          </w:p>
          <w:p w:rsidR="001B28F1" w:rsidRPr="001B28F1" w:rsidRDefault="00FD3664" w:rsidP="00774291">
            <w:pPr>
              <w:tabs>
                <w:tab w:val="left" w:pos="176"/>
              </w:tabs>
              <w:spacing w:line="233" w:lineRule="auto"/>
              <w:ind w:left="176"/>
              <w:jc w:val="both"/>
              <w:rPr>
                <w:rFonts w:eastAsia="Calibri"/>
                <w:spacing w:val="-8"/>
                <w:sz w:val="28"/>
                <w:szCs w:val="28"/>
              </w:rPr>
            </w:pPr>
            <w:r w:rsidRPr="00782D3A">
              <w:rPr>
                <w:rFonts w:eastAsia="Calibri"/>
                <w:spacing w:val="-8"/>
                <w:sz w:val="28"/>
                <w:szCs w:val="28"/>
              </w:rPr>
              <w:t xml:space="preserve">- </w:t>
            </w:r>
            <w:r w:rsidR="001B28F1" w:rsidRPr="001B28F1">
              <w:rPr>
                <w:rFonts w:eastAsia="Calibri"/>
                <w:spacing w:val="-8"/>
                <w:sz w:val="28"/>
                <w:szCs w:val="28"/>
              </w:rPr>
              <w:t xml:space="preserve">О включении в Стратегию целевых показателей, характеризующих состояние жилищного фонда города. </w:t>
            </w:r>
          </w:p>
          <w:p w:rsidR="001B28F1" w:rsidRPr="001B28F1" w:rsidRDefault="00FD3664" w:rsidP="00774291">
            <w:pPr>
              <w:tabs>
                <w:tab w:val="left" w:pos="176"/>
              </w:tabs>
              <w:spacing w:line="233" w:lineRule="auto"/>
              <w:ind w:left="176"/>
              <w:jc w:val="both"/>
              <w:rPr>
                <w:rFonts w:eastAsia="Calibri"/>
                <w:spacing w:val="-8"/>
                <w:sz w:val="28"/>
                <w:szCs w:val="28"/>
              </w:rPr>
            </w:pPr>
            <w:r w:rsidRPr="00782D3A">
              <w:rPr>
                <w:rFonts w:eastAsia="Calibri"/>
                <w:spacing w:val="-8"/>
                <w:sz w:val="28"/>
                <w:szCs w:val="28"/>
              </w:rPr>
              <w:t xml:space="preserve">- </w:t>
            </w:r>
            <w:r w:rsidR="001B28F1" w:rsidRPr="001B28F1">
              <w:rPr>
                <w:rFonts w:eastAsia="Calibri"/>
                <w:spacing w:val="-8"/>
                <w:sz w:val="28"/>
                <w:szCs w:val="28"/>
              </w:rPr>
              <w:t xml:space="preserve">О закреплении функций ответственного </w:t>
            </w:r>
            <w:bookmarkStart w:id="0" w:name="_GoBack"/>
            <w:bookmarkEnd w:id="0"/>
            <w:r w:rsidR="001B28F1" w:rsidRPr="001B28F1">
              <w:rPr>
                <w:rFonts w:eastAsia="Calibri"/>
                <w:spacing w:val="-8"/>
                <w:sz w:val="28"/>
                <w:szCs w:val="28"/>
              </w:rPr>
              <w:t>исполнителя Программы за Комитетом жилищной политики администрации МО ГО "Сыктывкар".</w:t>
            </w:r>
          </w:p>
          <w:p w:rsidR="001B28F1" w:rsidRPr="001B28F1" w:rsidRDefault="00FD3664" w:rsidP="00774291">
            <w:pPr>
              <w:tabs>
                <w:tab w:val="left" w:pos="176"/>
              </w:tabs>
              <w:spacing w:line="233" w:lineRule="auto"/>
              <w:ind w:left="176"/>
              <w:jc w:val="both"/>
              <w:rPr>
                <w:rFonts w:eastAsia="Calibri"/>
                <w:spacing w:val="-8"/>
                <w:sz w:val="28"/>
                <w:szCs w:val="28"/>
              </w:rPr>
            </w:pPr>
            <w:r w:rsidRPr="00782D3A">
              <w:rPr>
                <w:rFonts w:eastAsia="Calibri"/>
                <w:spacing w:val="-8"/>
                <w:sz w:val="28"/>
                <w:szCs w:val="28"/>
              </w:rPr>
              <w:t xml:space="preserve">- </w:t>
            </w:r>
            <w:r w:rsidR="001B28F1" w:rsidRPr="001B28F1">
              <w:rPr>
                <w:rFonts w:eastAsia="Calibri"/>
                <w:spacing w:val="-8"/>
                <w:sz w:val="28"/>
                <w:szCs w:val="28"/>
              </w:rPr>
              <w:t>Об утверждении Методики расчета целевых показателей (индикаторов) муниципальной программы.</w:t>
            </w:r>
          </w:p>
          <w:p w:rsidR="001B28F1" w:rsidRPr="001B28F1" w:rsidRDefault="00FD3664" w:rsidP="00774291">
            <w:pPr>
              <w:tabs>
                <w:tab w:val="left" w:pos="176"/>
              </w:tabs>
              <w:spacing w:line="233" w:lineRule="auto"/>
              <w:ind w:left="176"/>
              <w:jc w:val="both"/>
              <w:rPr>
                <w:rFonts w:eastAsia="Calibri"/>
                <w:spacing w:val="-8"/>
                <w:sz w:val="28"/>
                <w:szCs w:val="28"/>
              </w:rPr>
            </w:pPr>
            <w:r w:rsidRPr="00782D3A">
              <w:rPr>
                <w:rFonts w:eastAsia="Calibri"/>
                <w:spacing w:val="-8"/>
                <w:sz w:val="28"/>
                <w:szCs w:val="28"/>
              </w:rPr>
              <w:t xml:space="preserve">- </w:t>
            </w:r>
            <w:r w:rsidR="001B28F1" w:rsidRPr="001B28F1">
              <w:rPr>
                <w:rFonts w:eastAsia="Calibri"/>
                <w:spacing w:val="-8"/>
                <w:sz w:val="28"/>
                <w:szCs w:val="28"/>
              </w:rPr>
              <w:t>О включении в Программу, как в документ стратегического планирования, показателей, характеризующих качественную оценку её реализации.</w:t>
            </w:r>
          </w:p>
          <w:p w:rsidR="001B28F1" w:rsidRPr="001B28F1" w:rsidRDefault="00FD3664" w:rsidP="00774291">
            <w:pPr>
              <w:tabs>
                <w:tab w:val="left" w:pos="176"/>
              </w:tabs>
              <w:spacing w:line="233" w:lineRule="auto"/>
              <w:ind w:left="176"/>
              <w:jc w:val="both"/>
              <w:rPr>
                <w:rFonts w:eastAsia="Calibri"/>
                <w:spacing w:val="-8"/>
                <w:sz w:val="28"/>
                <w:szCs w:val="28"/>
              </w:rPr>
            </w:pPr>
            <w:r w:rsidRPr="00782D3A">
              <w:rPr>
                <w:rFonts w:eastAsia="Calibri"/>
                <w:spacing w:val="-8"/>
                <w:sz w:val="28"/>
                <w:szCs w:val="28"/>
              </w:rPr>
              <w:t>- О</w:t>
            </w:r>
            <w:r w:rsidR="001B28F1" w:rsidRPr="001B28F1">
              <w:rPr>
                <w:rFonts w:eastAsia="Calibri"/>
                <w:spacing w:val="-8"/>
                <w:sz w:val="28"/>
                <w:szCs w:val="28"/>
              </w:rPr>
              <w:t xml:space="preserve"> корректировке ожидаемых результатов и показателей (индикаторов) Программы.</w:t>
            </w:r>
          </w:p>
          <w:p w:rsidR="001B28F1" w:rsidRPr="001B28F1" w:rsidRDefault="00FD3664" w:rsidP="00774291">
            <w:pPr>
              <w:tabs>
                <w:tab w:val="left" w:pos="176"/>
              </w:tabs>
              <w:spacing w:line="233" w:lineRule="auto"/>
              <w:ind w:left="176"/>
              <w:jc w:val="both"/>
              <w:rPr>
                <w:rFonts w:eastAsia="Calibri"/>
                <w:spacing w:val="-8"/>
                <w:sz w:val="28"/>
                <w:szCs w:val="28"/>
              </w:rPr>
            </w:pPr>
            <w:r w:rsidRPr="00782D3A">
              <w:rPr>
                <w:rFonts w:eastAsia="Calibri"/>
                <w:spacing w:val="-8"/>
                <w:sz w:val="28"/>
                <w:szCs w:val="28"/>
              </w:rPr>
              <w:t xml:space="preserve">- </w:t>
            </w:r>
            <w:r w:rsidR="001B28F1" w:rsidRPr="001B28F1">
              <w:rPr>
                <w:rFonts w:eastAsia="Calibri"/>
                <w:spacing w:val="-8"/>
                <w:sz w:val="28"/>
                <w:szCs w:val="28"/>
              </w:rPr>
              <w:t>О внесении изменений в Методические указания, в соответствии с которыми установить порядок формирования Годовых отчетов и проведения оценки эффективности на основании плановых значений целевых показателей, отраженных в муниципальной программе, а не в плане реализации на текущий год.</w:t>
            </w:r>
          </w:p>
          <w:p w:rsidR="001B28F1" w:rsidRPr="001B28F1" w:rsidRDefault="00FD3664" w:rsidP="00774291">
            <w:pPr>
              <w:tabs>
                <w:tab w:val="left" w:pos="176"/>
              </w:tabs>
              <w:spacing w:line="233" w:lineRule="auto"/>
              <w:ind w:left="176"/>
              <w:jc w:val="both"/>
              <w:rPr>
                <w:rFonts w:eastAsia="Calibri"/>
                <w:color w:val="0070C0"/>
                <w:spacing w:val="-8"/>
                <w:sz w:val="28"/>
                <w:szCs w:val="28"/>
              </w:rPr>
            </w:pPr>
            <w:r w:rsidRPr="00782D3A">
              <w:rPr>
                <w:rFonts w:eastAsia="Calibri"/>
                <w:spacing w:val="-8"/>
                <w:sz w:val="28"/>
                <w:szCs w:val="28"/>
              </w:rPr>
              <w:t xml:space="preserve">- </w:t>
            </w:r>
            <w:r w:rsidR="001B28F1" w:rsidRPr="001B28F1">
              <w:rPr>
                <w:rFonts w:eastAsia="Calibri"/>
                <w:spacing w:val="-8"/>
                <w:sz w:val="28"/>
                <w:szCs w:val="28"/>
              </w:rPr>
              <w:t xml:space="preserve">В целях </w:t>
            </w:r>
            <w:proofErr w:type="gramStart"/>
            <w:r w:rsidR="001B28F1" w:rsidRPr="001B28F1">
              <w:rPr>
                <w:rFonts w:eastAsia="Calibri"/>
                <w:spacing w:val="-8"/>
                <w:sz w:val="28"/>
                <w:szCs w:val="28"/>
              </w:rPr>
              <w:t>обеспечения достоверной оценки эффективности реализации Программы</w:t>
            </w:r>
            <w:proofErr w:type="gramEnd"/>
            <w:r w:rsidR="001B28F1" w:rsidRPr="001B28F1">
              <w:rPr>
                <w:rFonts w:eastAsia="Calibri"/>
                <w:spacing w:val="-8"/>
                <w:sz w:val="28"/>
                <w:szCs w:val="28"/>
              </w:rPr>
              <w:t xml:space="preserve"> необходимо рассмотреть вопрос о корректировке формулировок, отраженных в Анкете для оценки эффективности муниципальной программы.</w:t>
            </w:r>
          </w:p>
        </w:tc>
      </w:tr>
    </w:tbl>
    <w:p w:rsidR="001B28F1" w:rsidRPr="006E04EF" w:rsidRDefault="001B28F1" w:rsidP="00BA6C52">
      <w:pPr>
        <w:spacing w:before="120"/>
        <w:ind w:firstLine="709"/>
        <w:jc w:val="both"/>
        <w:rPr>
          <w:rFonts w:eastAsia="Calibri"/>
          <w:spacing w:val="-8"/>
          <w:sz w:val="28"/>
          <w:szCs w:val="28"/>
        </w:rPr>
      </w:pPr>
    </w:p>
    <w:sectPr w:rsidR="001B28F1" w:rsidRPr="006E04EF" w:rsidSect="00204250">
      <w:headerReference w:type="even" r:id="rId9"/>
      <w:headerReference w:type="default" r:id="rId10"/>
      <w:footerReference w:type="default" r:id="rId11"/>
      <w:footerReference w:type="first" r:id="rId12"/>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E9" w:rsidRDefault="00EE60E9">
      <w:r>
        <w:separator/>
      </w:r>
    </w:p>
  </w:endnote>
  <w:endnote w:type="continuationSeparator" w:id="0">
    <w:p w:rsidR="00EE60E9" w:rsidRDefault="00EE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E9" w:rsidRDefault="00EE60E9">
      <w:r>
        <w:separator/>
      </w:r>
    </w:p>
  </w:footnote>
  <w:footnote w:type="continuationSeparator" w:id="0">
    <w:p w:rsidR="00EE60E9" w:rsidRDefault="00EE6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2D3A">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354FA9"/>
    <w:multiLevelType w:val="hybridMultilevel"/>
    <w:tmpl w:val="2FCE46B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6D4FB5"/>
    <w:multiLevelType w:val="hybridMultilevel"/>
    <w:tmpl w:val="E1D66656"/>
    <w:lvl w:ilvl="0" w:tplc="616CDB8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8">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8"/>
  </w:num>
  <w:num w:numId="6">
    <w:abstractNumId w:val="21"/>
  </w:num>
  <w:num w:numId="7">
    <w:abstractNumId w:val="14"/>
  </w:num>
  <w:num w:numId="8">
    <w:abstractNumId w:val="0"/>
  </w:num>
  <w:num w:numId="9">
    <w:abstractNumId w:val="13"/>
  </w:num>
  <w:num w:numId="10">
    <w:abstractNumId w:val="19"/>
  </w:num>
  <w:num w:numId="11">
    <w:abstractNumId w:val="5"/>
  </w:num>
  <w:num w:numId="12">
    <w:abstractNumId w:val="6"/>
  </w:num>
  <w:num w:numId="13">
    <w:abstractNumId w:val="1"/>
  </w:num>
  <w:num w:numId="14">
    <w:abstractNumId w:val="4"/>
  </w:num>
  <w:num w:numId="15">
    <w:abstractNumId w:val="12"/>
  </w:num>
  <w:num w:numId="16">
    <w:abstractNumId w:val="15"/>
  </w:num>
  <w:num w:numId="17">
    <w:abstractNumId w:val="9"/>
  </w:num>
  <w:num w:numId="18">
    <w:abstractNumId w:val="10"/>
  </w:num>
  <w:num w:numId="19">
    <w:abstractNumId w:val="11"/>
  </w:num>
  <w:num w:numId="20">
    <w:abstractNumId w:val="3"/>
  </w:num>
  <w:num w:numId="21">
    <w:abstractNumId w:val="8"/>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653"/>
    <w:rsid w:val="000D3A87"/>
    <w:rsid w:val="000D409B"/>
    <w:rsid w:val="000D4EB6"/>
    <w:rsid w:val="000D4F54"/>
    <w:rsid w:val="000D5535"/>
    <w:rsid w:val="000D56E4"/>
    <w:rsid w:val="000D5B96"/>
    <w:rsid w:val="000D60C0"/>
    <w:rsid w:val="000D7B82"/>
    <w:rsid w:val="000E0570"/>
    <w:rsid w:val="000E0944"/>
    <w:rsid w:val="000E15DF"/>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4AE"/>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5DD7"/>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28F1"/>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291"/>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D3A"/>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4D3"/>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566"/>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B04"/>
    <w:rsid w:val="00931EEA"/>
    <w:rsid w:val="00931FAD"/>
    <w:rsid w:val="009320B3"/>
    <w:rsid w:val="00932158"/>
    <w:rsid w:val="009328C3"/>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569"/>
    <w:rsid w:val="00C34068"/>
    <w:rsid w:val="00C340F9"/>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0E9"/>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664"/>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103A-C82A-41AD-867E-3FA0A80F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6</cp:revision>
  <cp:lastPrinted>2020-06-30T08:54:00Z</cp:lastPrinted>
  <dcterms:created xsi:type="dcterms:W3CDTF">2020-06-30T12:21:00Z</dcterms:created>
  <dcterms:modified xsi:type="dcterms:W3CDTF">2021-12-27T11:37:00Z</dcterms:modified>
</cp:coreProperties>
</file>