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A11F17" w:rsidRDefault="00D35AD6" w:rsidP="003036D1">
      <w:pPr>
        <w:jc w:val="center"/>
        <w:rPr>
          <w:sz w:val="28"/>
          <w:szCs w:val="28"/>
        </w:rPr>
      </w:pPr>
      <w:r>
        <w:rPr>
          <w:rFonts w:eastAsia="Calibri"/>
          <w:sz w:val="28"/>
          <w:szCs w:val="28"/>
        </w:rPr>
        <w:t>О</w:t>
      </w:r>
      <w:r w:rsidR="008A1C7A" w:rsidRPr="008A1C7A">
        <w:rPr>
          <w:rFonts w:eastAsia="Calibri"/>
          <w:sz w:val="28"/>
          <w:szCs w:val="28"/>
        </w:rPr>
        <w:t>б итогах проверки эффективности и целевого использования средств субсидий, выделенных МКП "Жилкомсервис" из бюджета МО ГО "Сыктывкар"</w:t>
      </w:r>
    </w:p>
    <w:p w:rsidR="00772843" w:rsidRPr="00A11F17" w:rsidRDefault="00772843" w:rsidP="00C31071">
      <w:pPr>
        <w:spacing w:before="120"/>
        <w:ind w:firstLine="426"/>
        <w:jc w:val="both"/>
        <w:rPr>
          <w:rFonts w:eastAsia="Calibri"/>
          <w:sz w:val="28"/>
          <w:szCs w:val="28"/>
        </w:rPr>
      </w:pPr>
      <w:r w:rsidRPr="00A11F17">
        <w:rPr>
          <w:sz w:val="28"/>
          <w:szCs w:val="28"/>
        </w:rPr>
        <w:t>В соо</w:t>
      </w:r>
      <w:r w:rsidR="00A171A9" w:rsidRPr="00A11F17">
        <w:rPr>
          <w:sz w:val="28"/>
          <w:szCs w:val="28"/>
        </w:rPr>
        <w:t>тветствии с планом работы на 202</w:t>
      </w:r>
      <w:r w:rsidR="008A1C7A">
        <w:rPr>
          <w:sz w:val="28"/>
          <w:szCs w:val="28"/>
        </w:rPr>
        <w:t>2</w:t>
      </w:r>
      <w:r w:rsidRPr="00A11F17">
        <w:rPr>
          <w:sz w:val="28"/>
          <w:szCs w:val="28"/>
        </w:rPr>
        <w:t xml:space="preserve"> год</w:t>
      </w:r>
      <w:r w:rsidR="00DD357E" w:rsidRPr="00A11F17">
        <w:rPr>
          <w:sz w:val="28"/>
          <w:szCs w:val="28"/>
        </w:rPr>
        <w:t>,</w:t>
      </w:r>
      <w:r w:rsidRPr="00A11F17">
        <w:rPr>
          <w:sz w:val="28"/>
          <w:szCs w:val="28"/>
        </w:rPr>
        <w:t xml:space="preserve"> Контрольно-счетной палатой муниципального образования городского округа "Сыктывкар" проведен</w:t>
      </w:r>
      <w:r w:rsidR="00A11F17" w:rsidRPr="00A11F17">
        <w:rPr>
          <w:sz w:val="28"/>
          <w:szCs w:val="28"/>
        </w:rPr>
        <w:t>а</w:t>
      </w:r>
      <w:r w:rsidRPr="00A11F17">
        <w:rPr>
          <w:sz w:val="28"/>
          <w:szCs w:val="28"/>
        </w:rPr>
        <w:t xml:space="preserve"> </w:t>
      </w:r>
      <w:r w:rsidR="00A11F17" w:rsidRPr="00A11F17">
        <w:rPr>
          <w:sz w:val="28"/>
          <w:szCs w:val="28"/>
        </w:rPr>
        <w:t xml:space="preserve">проверка </w:t>
      </w:r>
      <w:r w:rsidR="008A1C7A" w:rsidRPr="008A1C7A">
        <w:rPr>
          <w:sz w:val="28"/>
          <w:szCs w:val="28"/>
        </w:rPr>
        <w:t>эффективности и целевого использования средств субсидий, выделенных МКП "Жилкомсервис" из бюджета МО ГО "Сыктывкар"</w:t>
      </w:r>
      <w:r w:rsidR="004739D9" w:rsidRPr="00A11F17">
        <w:rPr>
          <w:rFonts w:eastAsia="Calibri"/>
          <w:sz w:val="28"/>
          <w:szCs w:val="28"/>
        </w:rPr>
        <w:t>.</w:t>
      </w:r>
    </w:p>
    <w:p w:rsidR="00464D32" w:rsidRPr="00C14590" w:rsidRDefault="00464D32" w:rsidP="00464D32">
      <w:pPr>
        <w:pStyle w:val="af4"/>
        <w:spacing w:before="60" w:line="228" w:lineRule="auto"/>
        <w:ind w:left="0" w:right="-57"/>
        <w:jc w:val="both"/>
        <w:rPr>
          <w:iCs/>
          <w:spacing w:val="-8"/>
          <w:sz w:val="28"/>
          <w:szCs w:val="28"/>
          <w:u w:val="single"/>
        </w:rPr>
      </w:pPr>
      <w:r w:rsidRPr="00C14590">
        <w:rPr>
          <w:iCs/>
          <w:spacing w:val="-8"/>
          <w:sz w:val="28"/>
          <w:szCs w:val="28"/>
          <w:u w:val="single"/>
        </w:rPr>
        <w:t>Общие положения</w:t>
      </w:r>
    </w:p>
    <w:p w:rsidR="008A1C7A" w:rsidRPr="00F61801" w:rsidRDefault="008A1C7A" w:rsidP="008A1C7A">
      <w:pPr>
        <w:pStyle w:val="af4"/>
        <w:tabs>
          <w:tab w:val="left" w:pos="317"/>
        </w:tabs>
        <w:ind w:left="-57" w:right="-57" w:firstLine="483"/>
        <w:jc w:val="both"/>
        <w:rPr>
          <w:sz w:val="28"/>
          <w:szCs w:val="28"/>
        </w:rPr>
      </w:pPr>
      <w:r w:rsidRPr="008A1C7A">
        <w:rPr>
          <w:sz w:val="28"/>
          <w:szCs w:val="28"/>
        </w:rPr>
        <w:t xml:space="preserve">Учредителем и собственником имущества Предприятия является МО ГО "Сыктывкар", от имени которого действует администрация МО ГО "Сыктывкар" </w:t>
      </w:r>
      <w:r w:rsidRPr="00F61801">
        <w:rPr>
          <w:sz w:val="28"/>
          <w:szCs w:val="28"/>
        </w:rPr>
        <w:t>(далее – Администрация).</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Для осуществления уставной деятельности за МКП "Жилкомсервис" закреплено муниципальное имущество на праве оперативного управления.</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соответствии со статьей 78 Бюджетного Кодекса РФ в целях частичного возмещения затрат на содержание и ремонт переданного в оперативное управление имущества и возмещения недополученных доходов Предприятию предоставляются субсидии из бюджета МО ГО "Сыктывкар".</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Доля субсидий из бюджета МО ГО "Сыктывкар" в расходах предприятия составила 84 процента.</w:t>
      </w:r>
    </w:p>
    <w:p w:rsidR="008A1C7A" w:rsidRPr="006B54FA" w:rsidRDefault="008A1C7A" w:rsidP="008A1C7A">
      <w:pPr>
        <w:pStyle w:val="af4"/>
        <w:tabs>
          <w:tab w:val="left" w:pos="317"/>
        </w:tabs>
        <w:ind w:left="-57" w:right="-57" w:firstLine="483"/>
        <w:jc w:val="both"/>
        <w:rPr>
          <w:sz w:val="28"/>
          <w:szCs w:val="28"/>
        </w:rPr>
      </w:pPr>
      <w:r w:rsidRPr="008A1C7A">
        <w:rPr>
          <w:sz w:val="28"/>
          <w:szCs w:val="28"/>
        </w:rPr>
        <w:t>В 2021 году, на основании действующих Порядков и заключенных соглашений, субсидия на общую сумму 204 295,3 тыс. рублей предоставлялась Предприятию двумя отраслевыми органами Администрации: Управлением дорожной инфраструктуры, транспорта и связи администрации МО ГО "</w:t>
      </w:r>
      <w:r w:rsidRPr="006B54FA">
        <w:rPr>
          <w:sz w:val="28"/>
          <w:szCs w:val="28"/>
        </w:rPr>
        <w:t>Сыктывкар" (далее – Управление ДИТиС) и Управлением</w:t>
      </w:r>
      <w:r w:rsidR="006B54FA" w:rsidRPr="006B54FA">
        <w:rPr>
          <w:sz w:val="28"/>
          <w:szCs w:val="28"/>
        </w:rPr>
        <w:t xml:space="preserve"> жилищно-коммунального хозяйства администрации МО ГО "Сыктывкар" (далее - Управление</w:t>
      </w:r>
      <w:r w:rsidRPr="006B54FA">
        <w:rPr>
          <w:sz w:val="28"/>
          <w:szCs w:val="28"/>
        </w:rPr>
        <w:t xml:space="preserve"> ЖКХ</w:t>
      </w:r>
      <w:r w:rsidR="006B54FA" w:rsidRPr="006B54FA">
        <w:rPr>
          <w:sz w:val="28"/>
          <w:szCs w:val="28"/>
        </w:rPr>
        <w:t>)</w:t>
      </w:r>
      <w:r w:rsidRPr="006B54FA">
        <w:rPr>
          <w:sz w:val="28"/>
          <w:szCs w:val="28"/>
        </w:rPr>
        <w:t>.</w:t>
      </w:r>
    </w:p>
    <w:p w:rsidR="008A1C7A" w:rsidRPr="001B5718" w:rsidRDefault="008A1C7A" w:rsidP="008A1C7A">
      <w:pPr>
        <w:pStyle w:val="af4"/>
        <w:tabs>
          <w:tab w:val="left" w:pos="317"/>
        </w:tabs>
        <w:ind w:left="-57" w:right="-57" w:firstLine="483"/>
        <w:jc w:val="both"/>
        <w:rPr>
          <w:sz w:val="28"/>
          <w:szCs w:val="28"/>
        </w:rPr>
      </w:pPr>
      <w:r w:rsidRPr="006B54FA">
        <w:rPr>
          <w:sz w:val="28"/>
          <w:szCs w:val="28"/>
        </w:rPr>
        <w:t>В нарушение требований утвержденных</w:t>
      </w:r>
      <w:r w:rsidRPr="008A1C7A">
        <w:rPr>
          <w:sz w:val="28"/>
          <w:szCs w:val="28"/>
        </w:rPr>
        <w:t xml:space="preserve"> Порядков и условий заключенных соглашений, Предприятием не предоставлялись ежеквартально отчеты по выполнению плана по оптимизации расходов и повышению собственных доходов получателя субсидии на текущий год за </w:t>
      </w:r>
      <w:r w:rsidRPr="001B5718">
        <w:rPr>
          <w:sz w:val="28"/>
          <w:szCs w:val="28"/>
        </w:rPr>
        <w:t>истекший период, что является основанием для приостановления перечисления средств субсидии. Однако, в анализируемый период Управление ДИТиС и Управление ЖКХ перечисляли субсидию Предприятию в полном объеме.</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Анализ задолженности Предприятия</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учете МКП "Жилкомсервис" по состоянию на 01.01.2021 числилась кредиторская задолженность по контрагенту "Управление ЖКХ" по возврату сумм НДС за 2017-2019 годы в размере 36 438,6 тыс. рублей.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течение 2020 года Предприятием предъявлялись к возмещению, а Управлением ЖКХ перечислялись из бюджета суммы расходов, включающие в себя НДС, подлежащий уплате. Между тем, Предприятием в 2020 году НДС не платился, средства субсидий на уплату НДС в бюджет не возвращались. Таким образом предприятием допущено использование средств субсидии с нарушением требований Порядка ее предоставления. В бюджет МО ГО "Сыктывкар" не возвращено 20 938,6 тыс. рублей.</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 xml:space="preserve">Анализ использования средств субсидии на содержание переданного имущества. </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xml:space="preserve">При проведении проверки эффективности и целевого использования средств субсидий, выделенных из бюджета МО ГО "Сыктывкар" на содержание и ремонт </w:t>
      </w:r>
      <w:r w:rsidRPr="008A1C7A">
        <w:rPr>
          <w:sz w:val="28"/>
          <w:szCs w:val="28"/>
        </w:rPr>
        <w:lastRenderedPageBreak/>
        <w:t>наплавного моста через р. Сысола; общегородских объектов благоустройства общего пользования местного значения; фонтанов; туалетных модулей–павильонов; речного транспорта (в межнавигационный период), нарушений и замечаний не установлено.</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Содержание и ремонт ливневых канализаций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Установлен факт непринятия мер по корректировке заключенного соглашения в части показателей, которые необходимо достигнуть в течение года (протяженность сети ливневой канализации).</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 xml:space="preserve">Содержание и ремонт сетей наружного освещения </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Установлен факт непринятия мер по корректировке заключенного соглашения в части показателей, которые необходимо достигнуть в течение года (протяженность сетей наружного освещения; количество потребляемой электроэнергии).</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Согласование Администрацией использования доходов Предприятия на иные цели влечет увеличение нагрузки на муниципальный бюджет.</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Осуществление речных перевозок на территории МО ГО "Сыктывкар"</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Установление решением Совета города льготного проезда и перевозки грузов не является обязанностью органов местного самоуправления и должно финансироваться из муниципального бюджета при наличии возможности.</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Финансирование затрат и недополученных доходов на сумму 31 472,8 тыс. рублей осуществлялось в 2021 году по следующим направлениям:</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пассажирские речные перевозки на сумму 20 226,3 тыс. рублей;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провоз грузов, транспортных средств на сумму 7 323,0 тыс. рублей;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дежурство в ночное время (грузоперевозки) на сумму 3 923,5 тыс. рублей.</w:t>
      </w:r>
    </w:p>
    <w:p w:rsidR="008A1C7A" w:rsidRPr="006B54FA" w:rsidRDefault="008A1C7A" w:rsidP="006B54FA">
      <w:pPr>
        <w:pStyle w:val="af4"/>
        <w:spacing w:before="60" w:line="228" w:lineRule="auto"/>
        <w:ind w:left="0" w:right="-57"/>
        <w:jc w:val="both"/>
        <w:rPr>
          <w:i/>
          <w:iCs/>
          <w:spacing w:val="-8"/>
          <w:sz w:val="28"/>
          <w:szCs w:val="28"/>
          <w:u w:val="single"/>
        </w:rPr>
      </w:pPr>
      <w:r w:rsidRPr="006B54FA">
        <w:rPr>
          <w:i/>
          <w:iCs/>
          <w:spacing w:val="-8"/>
          <w:sz w:val="28"/>
          <w:szCs w:val="28"/>
          <w:u w:val="single"/>
        </w:rPr>
        <w:t>Пассажирские речные перевозки</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2021 году администрация п.г.т. Седкыркещ осуществляла выдачу проездных билетов при отсутствии правовых оснований.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Проездной билет не является именным, что допускает возможность его использования неограниченному кругу лиц, а также отсутствуют ограничения по количеству поездок по проездному билету, что позволяет осуществлять проезд неопределенное количество раз.</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период половодья и ледостава перевозка населения осуществлялась за счет Предприятия. Финансирование из бюджета в эти периоды не производилось, так как соглашением предусмотрено возмещение затрат по перевозке населения только в период навигации.</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Установленный механизм финансирования пассажирских речных перевозок, основанный на компенсации фактически произведенных затрат, не соответствует механизму финансирования, установленному решением Совета, основанному на компенсации недополученных доходов от разницы между стоимостью провозной платы и экономически обоснованными тарифами, что повлекло завышение расходов бюджета МО ГО "Сыктывкар" на 5 001,1 тыс. рублей или на 32 процента.</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Применение принципа частичной компенсации расходов граждан позволило бы снизить расходы на осуществление мероприятий, не отнесенных к вопросам местного значения, и направить финансирование на осуществление полномочий органов местного самоуправления, в том числе исполнение судебных актов.</w:t>
      </w:r>
    </w:p>
    <w:p w:rsidR="008A1C7A" w:rsidRPr="006B54FA" w:rsidRDefault="008A1C7A" w:rsidP="006B54FA">
      <w:pPr>
        <w:pStyle w:val="af4"/>
        <w:spacing w:before="60" w:line="228" w:lineRule="auto"/>
        <w:ind w:left="0" w:right="-57"/>
        <w:jc w:val="both"/>
        <w:rPr>
          <w:i/>
          <w:iCs/>
          <w:spacing w:val="-8"/>
          <w:sz w:val="28"/>
          <w:szCs w:val="28"/>
          <w:u w:val="single"/>
        </w:rPr>
      </w:pPr>
      <w:r w:rsidRPr="006B54FA">
        <w:rPr>
          <w:i/>
          <w:iCs/>
          <w:spacing w:val="-8"/>
          <w:sz w:val="28"/>
          <w:szCs w:val="28"/>
          <w:u w:val="single"/>
        </w:rPr>
        <w:lastRenderedPageBreak/>
        <w:t>Перевозка грузов (транспортных средств)</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Решением Совета по двум маршрутам установлена одинаковая провозная плата, между тем тарифы по ним отличаются в среднем на 23,4 процента и не могут быть равнозначными.</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зависимости от вида транспорта и маршрута за счет средств муниципального бюджета финансируется от 62,9 до 80,0 процентов стоимости перевозки, утвержденной приказом Комитета Республики Коми по тарифам, что свидетельствует об отсутствии единого подхода к определению льготной провозной платы.</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Тарифы по грузовым перевозкам для маршрута "г. Сыктывкар (пр. Геологов) – п.с.т. Трехозерка", применяемые с 30.07.2021 значительно выше ранее действующих тарифов (от 2,2 до 4,4 раз), что повлекло рост недополученных доходов, возмещаемых из бюджета МО ГО "Сыктывкар".</w:t>
      </w:r>
    </w:p>
    <w:p w:rsidR="008A1C7A" w:rsidRPr="00F61801" w:rsidRDefault="008A1C7A" w:rsidP="008A1C7A">
      <w:pPr>
        <w:pStyle w:val="af4"/>
        <w:tabs>
          <w:tab w:val="left" w:pos="317"/>
        </w:tabs>
        <w:ind w:left="-57" w:right="-57" w:firstLine="483"/>
        <w:jc w:val="both"/>
        <w:rPr>
          <w:sz w:val="28"/>
          <w:szCs w:val="28"/>
        </w:rPr>
      </w:pPr>
      <w:r w:rsidRPr="00F61801">
        <w:rPr>
          <w:sz w:val="28"/>
          <w:szCs w:val="28"/>
        </w:rPr>
        <w:t>Отсутствие в нормативных актах ограничений по использованию проездных билетов повлекло использование предоставленной льготы для предпринимательской деятельности. Общая сумма субсидирования провозной платы предпринимателям за 2021 год составила 421,6 тыс. рублей. Более 96 процентов всех перевозок автомобилей массой до 8 тонн осуществлено одним предпринимателем.</w:t>
      </w:r>
    </w:p>
    <w:p w:rsidR="008A1C7A" w:rsidRPr="006B54FA" w:rsidRDefault="008A1C7A" w:rsidP="006B54FA">
      <w:pPr>
        <w:pStyle w:val="af4"/>
        <w:spacing w:before="60" w:line="228" w:lineRule="auto"/>
        <w:ind w:left="0" w:right="-57"/>
        <w:jc w:val="both"/>
        <w:rPr>
          <w:iCs/>
          <w:spacing w:val="-8"/>
          <w:sz w:val="28"/>
          <w:szCs w:val="28"/>
          <w:u w:val="single"/>
        </w:rPr>
      </w:pPr>
      <w:r w:rsidRPr="006B54FA">
        <w:rPr>
          <w:iCs/>
          <w:spacing w:val="-8"/>
          <w:sz w:val="28"/>
          <w:szCs w:val="28"/>
          <w:u w:val="single"/>
        </w:rPr>
        <w:t>Аудит в сфере закупок</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xml:space="preserve">В нарушение требований пункта 3 части 2 статьи 16 Федерального закона от 05.04.2013 № 44-ФЗ "О контрактной системе в сфере закупок </w:t>
      </w:r>
      <w:r w:rsidRPr="00F61801">
        <w:rPr>
          <w:sz w:val="28"/>
          <w:szCs w:val="28"/>
        </w:rPr>
        <w:t>товаров, работ, услуг для обеспечения государственных и муниципальных нужд" (далее – Федеральный закон № 44-ФЗ), отраженные в плане-графике плановые объемы финансирования не соответствуют фактическому объему</w:t>
      </w:r>
      <w:r w:rsidRPr="008A1C7A">
        <w:rPr>
          <w:sz w:val="28"/>
          <w:szCs w:val="28"/>
        </w:rPr>
        <w:t xml:space="preserve"> закупок, осуществленных в 2021 году.</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В нарушение требований части 5 статьи 22 Федерального закона № 44-ФЗ МКП "Жилкомсервис" использовались коммерческие предложения потенциальных поставщиков, не осуществляющих деятельность, либо не осуществляющих поставки идентичных товаров, что влечет риск неэффективного расходования бюджетных средств, выделяемых на содержание и обслуживание имущества, переданного предприятию в оперативное управление, в рамках заключенных соглашений.</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 xml:space="preserve">Установлены замечания в части: несоблюдения Методических рекомендаций по применению методов определения </w:t>
      </w:r>
      <w:r w:rsidR="00B0023E">
        <w:rPr>
          <w:sz w:val="28"/>
          <w:szCs w:val="28"/>
        </w:rPr>
        <w:t>начальной (максимальной) цены контракта</w:t>
      </w:r>
      <w:r w:rsidRPr="008A1C7A">
        <w:rPr>
          <w:sz w:val="28"/>
          <w:szCs w:val="28"/>
        </w:rPr>
        <w:t xml:space="preserve">; недостаточной претензионной работы; недостаточной аналитической работы при формировании </w:t>
      </w:r>
      <w:r w:rsidR="00B0023E">
        <w:rPr>
          <w:sz w:val="28"/>
          <w:szCs w:val="28"/>
        </w:rPr>
        <w:t>начальной (максимальной) цены контракта</w:t>
      </w:r>
      <w:r w:rsidRPr="008A1C7A">
        <w:rPr>
          <w:sz w:val="28"/>
          <w:szCs w:val="28"/>
        </w:rPr>
        <w:t>, что влечет за собой риск ее завышения и риск неэффективного расходования бюджетных средств.</w:t>
      </w:r>
    </w:p>
    <w:p w:rsidR="008A1C7A" w:rsidRPr="008A1C7A" w:rsidRDefault="008A1C7A" w:rsidP="008A1C7A">
      <w:pPr>
        <w:pStyle w:val="af4"/>
        <w:tabs>
          <w:tab w:val="left" w:pos="317"/>
        </w:tabs>
        <w:ind w:left="-57" w:right="-57" w:firstLine="483"/>
        <w:jc w:val="both"/>
        <w:rPr>
          <w:sz w:val="28"/>
          <w:szCs w:val="28"/>
        </w:rPr>
      </w:pPr>
      <w:r w:rsidRPr="008A1C7A">
        <w:rPr>
          <w:sz w:val="28"/>
          <w:szCs w:val="28"/>
        </w:rPr>
        <w:t>Установлен факт неэффективного расходования бюджетных средств на сумму 59,2 тыс. рублей.</w:t>
      </w:r>
    </w:p>
    <w:p w:rsidR="0087268D" w:rsidRDefault="008A1C7A" w:rsidP="008A1C7A">
      <w:pPr>
        <w:pStyle w:val="af4"/>
        <w:tabs>
          <w:tab w:val="left" w:pos="317"/>
        </w:tabs>
        <w:ind w:left="-57" w:right="-57" w:firstLine="483"/>
        <w:jc w:val="both"/>
        <w:rPr>
          <w:sz w:val="28"/>
          <w:szCs w:val="28"/>
        </w:rPr>
      </w:pPr>
      <w:r w:rsidRPr="008A1C7A">
        <w:rPr>
          <w:sz w:val="28"/>
          <w:szCs w:val="28"/>
        </w:rPr>
        <w:t>Установлено два факта заключения контрактов с поставщиками, зарегистрированными в иных субъектах Российской Федерации, имеющими обособленные подразделения на территории МО ГО "Сыктывкар" без соответствующей регистрации таких подразделений в налоговых органах, что влечет недопоступление налоговых доходов в региональный и местный бюджеты.</w:t>
      </w:r>
    </w:p>
    <w:p w:rsidR="006356E6" w:rsidRPr="006356E6" w:rsidRDefault="006356E6" w:rsidP="0087268D">
      <w:pPr>
        <w:pStyle w:val="af4"/>
        <w:tabs>
          <w:tab w:val="left" w:pos="317"/>
        </w:tabs>
        <w:spacing w:before="120"/>
        <w:ind w:left="-57" w:right="-57" w:firstLine="482"/>
        <w:jc w:val="both"/>
        <w:rPr>
          <w:sz w:val="28"/>
          <w:szCs w:val="28"/>
        </w:rPr>
      </w:pPr>
      <w:r w:rsidRPr="003036D1">
        <w:rPr>
          <w:sz w:val="28"/>
          <w:szCs w:val="28"/>
        </w:rPr>
        <w:t xml:space="preserve">По итогам </w:t>
      </w:r>
      <w:r>
        <w:rPr>
          <w:sz w:val="28"/>
          <w:szCs w:val="28"/>
        </w:rPr>
        <w:t>проверки</w:t>
      </w:r>
      <w:r w:rsidRPr="003036D1">
        <w:rPr>
          <w:sz w:val="28"/>
          <w:szCs w:val="28"/>
        </w:rPr>
        <w:t xml:space="preserve"> подготовлены предложения по устранению выявленных </w:t>
      </w:r>
      <w:r w:rsidRPr="003036D1">
        <w:rPr>
          <w:sz w:val="28"/>
          <w:szCs w:val="28"/>
        </w:rPr>
        <w:lastRenderedPageBreak/>
        <w:t>нарушений и замечаний, в том числе:</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 xml:space="preserve">Обеспечить возврат в бюджет МО ГО "Сыктывкар" излишне уплаченной суммы субсидии в размере </w:t>
      </w:r>
      <w:r w:rsidRPr="00045884">
        <w:rPr>
          <w:bCs/>
          <w:sz w:val="28"/>
          <w:szCs w:val="28"/>
        </w:rPr>
        <w:t>20 938,6 тыс. рублей</w:t>
      </w:r>
      <w:r w:rsidRPr="00045884">
        <w:rPr>
          <w:sz w:val="28"/>
          <w:szCs w:val="28"/>
        </w:rPr>
        <w:t>.</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В целях надлежащего функционирования Предприятия, обеспечить возмещение затрат Предприятия на содержание переданного муниципального имущества, связанных с осуществлением речных пассажирских перевозок в период половодья и ледостава.</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Устанавливать порядок субсидирования Предприятия в соответствии с принятыми решениями Совета МО ГО "Сыктывкар". При установлении платы за речные перевозки ниже утвержденного экономически обоснованного тарифа осуществлять финансирование выпадающих доходов Предприятия, возникающих в связи с применением такой платы.</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В целях недопущения осуществления предпринимательской деятельности за счет использования средств муниципального бюджета, рассмотреть вопрос об установлении ограничений в использовании проездных билетов на осуществление речных грузовых перевозок.</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В целях установления единообразного подхода в сфере организации транспортного обеспечения и экономии бюджетных средств, рассмотреть вопрос об установлении частичной компенсации платного проезда по речным пассажирским перевозкам.</w:t>
      </w:r>
    </w:p>
    <w:p w:rsidR="00045884" w:rsidRPr="00045884" w:rsidRDefault="00045884" w:rsidP="00045884">
      <w:pPr>
        <w:pStyle w:val="af4"/>
        <w:tabs>
          <w:tab w:val="left" w:pos="317"/>
        </w:tabs>
        <w:ind w:left="-57" w:right="-57" w:firstLine="483"/>
        <w:jc w:val="both"/>
        <w:rPr>
          <w:sz w:val="28"/>
          <w:szCs w:val="28"/>
        </w:rPr>
      </w:pPr>
      <w:r w:rsidRPr="00045884">
        <w:rPr>
          <w:sz w:val="28"/>
          <w:szCs w:val="28"/>
        </w:rPr>
        <w:t>При регулировании провозной платы по грузовым речным перевозкам, устанавливать единую долю от утвержденных тарифов, подлежащую финансированию за счет средств муниципального бюджета.</w:t>
      </w:r>
    </w:p>
    <w:p w:rsidR="001B5718" w:rsidRDefault="00045884" w:rsidP="00045884">
      <w:pPr>
        <w:pStyle w:val="af4"/>
        <w:tabs>
          <w:tab w:val="left" w:pos="324"/>
        </w:tabs>
        <w:ind w:left="40" w:right="-57" w:firstLine="527"/>
        <w:jc w:val="both"/>
        <w:rPr>
          <w:sz w:val="28"/>
          <w:szCs w:val="28"/>
        </w:rPr>
      </w:pPr>
      <w:r w:rsidRPr="00045884">
        <w:rPr>
          <w:sz w:val="28"/>
          <w:szCs w:val="28"/>
        </w:rPr>
        <w:t>В целях обеспечения увеличения налоговых доходов муниципального бюджета рассмотреть вопрос об организации направления в налоговые органы информации о фактическом наличии на территории МО ГО "Сыктывкар" незарегистрированных обособленных подразделений организаций.</w:t>
      </w:r>
    </w:p>
    <w:p w:rsidR="007C5302" w:rsidRDefault="007C5302" w:rsidP="001B5718">
      <w:pPr>
        <w:pStyle w:val="af4"/>
        <w:tabs>
          <w:tab w:val="left" w:pos="324"/>
        </w:tabs>
        <w:spacing w:before="120"/>
        <w:ind w:left="40" w:firstLine="527"/>
        <w:jc w:val="both"/>
        <w:rPr>
          <w:sz w:val="28"/>
          <w:szCs w:val="28"/>
        </w:rPr>
      </w:pPr>
      <w:r>
        <w:rPr>
          <w:sz w:val="28"/>
          <w:szCs w:val="28"/>
        </w:rPr>
        <w:t xml:space="preserve">По итогам контрольного мероприятия в адрес </w:t>
      </w:r>
      <w:r w:rsidR="001B5718">
        <w:rPr>
          <w:sz w:val="28"/>
          <w:szCs w:val="28"/>
        </w:rPr>
        <w:t>Управления ЖКХ направлено</w:t>
      </w:r>
      <w:r>
        <w:rPr>
          <w:sz w:val="28"/>
          <w:szCs w:val="28"/>
        </w:rPr>
        <w:t xml:space="preserve"> представлени</w:t>
      </w:r>
      <w:r w:rsidR="001B5718">
        <w:rPr>
          <w:sz w:val="28"/>
          <w:szCs w:val="28"/>
        </w:rPr>
        <w:t>е</w:t>
      </w:r>
      <w:r>
        <w:rPr>
          <w:sz w:val="28"/>
          <w:szCs w:val="28"/>
        </w:rPr>
        <w:t xml:space="preserve"> с </w:t>
      </w:r>
      <w:r w:rsidR="00D35AD6">
        <w:rPr>
          <w:sz w:val="28"/>
          <w:szCs w:val="28"/>
        </w:rPr>
        <w:t>требованием</w:t>
      </w:r>
      <w:r>
        <w:rPr>
          <w:sz w:val="28"/>
          <w:szCs w:val="28"/>
        </w:rPr>
        <w:t xml:space="preserve"> по </w:t>
      </w:r>
      <w:r w:rsidR="001B5718">
        <w:rPr>
          <w:sz w:val="28"/>
          <w:szCs w:val="28"/>
        </w:rPr>
        <w:t xml:space="preserve">устранению выявленных нарушений; </w:t>
      </w:r>
      <w:r w:rsidR="00D35AD6">
        <w:rPr>
          <w:sz w:val="28"/>
          <w:szCs w:val="28"/>
        </w:rPr>
        <w:t>материалы проверки направлены</w:t>
      </w:r>
      <w:r w:rsidR="001B5718" w:rsidRPr="001B5718">
        <w:rPr>
          <w:sz w:val="28"/>
          <w:szCs w:val="28"/>
        </w:rPr>
        <w:t xml:space="preserve"> в Управление Федеральной антимонопольной службы по Республике Коми</w:t>
      </w:r>
      <w:r w:rsidR="00D35AD6">
        <w:rPr>
          <w:sz w:val="28"/>
          <w:szCs w:val="28"/>
        </w:rPr>
        <w:t xml:space="preserve"> и Прокуратуру г. Сыктывкара</w:t>
      </w:r>
      <w:bookmarkStart w:id="0" w:name="_GoBack"/>
      <w:bookmarkEnd w:id="0"/>
      <w:r w:rsidR="001B5718" w:rsidRPr="001B5718">
        <w:rPr>
          <w:sz w:val="28"/>
          <w:szCs w:val="28"/>
        </w:rPr>
        <w:t>.</w:t>
      </w:r>
    </w:p>
    <w:p w:rsidR="00D35AD6" w:rsidRPr="003036D1" w:rsidRDefault="00D35AD6" w:rsidP="001B5718">
      <w:pPr>
        <w:pStyle w:val="af4"/>
        <w:tabs>
          <w:tab w:val="left" w:pos="324"/>
        </w:tabs>
        <w:spacing w:before="120"/>
        <w:ind w:left="40" w:firstLine="527"/>
        <w:jc w:val="both"/>
        <w:rPr>
          <w:sz w:val="28"/>
          <w:szCs w:val="28"/>
        </w:rPr>
      </w:pPr>
    </w:p>
    <w:sectPr w:rsidR="00D35AD6" w:rsidRPr="003036D1" w:rsidSect="000427B4">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52" w:rsidRDefault="00336852">
      <w:r>
        <w:separator/>
      </w:r>
    </w:p>
  </w:endnote>
  <w:endnote w:type="continuationSeparator" w:id="0">
    <w:p w:rsidR="00336852" w:rsidRDefault="003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52" w:rsidRDefault="00336852">
      <w:r>
        <w:separator/>
      </w:r>
    </w:p>
  </w:footnote>
  <w:footnote w:type="continuationSeparator" w:id="0">
    <w:p w:rsidR="00336852" w:rsidRDefault="0033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4D7F">
      <w:rPr>
        <w:rStyle w:val="a6"/>
        <w:noProof/>
      </w:rPr>
      <w:t>4</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6852"/>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4D7F"/>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0AB0-FD10-46D5-A144-6144B216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2</cp:revision>
  <cp:lastPrinted>2021-09-21T14:04:00Z</cp:lastPrinted>
  <dcterms:created xsi:type="dcterms:W3CDTF">2022-06-03T12:33:00Z</dcterms:created>
  <dcterms:modified xsi:type="dcterms:W3CDTF">2022-06-03T12:33:00Z</dcterms:modified>
</cp:coreProperties>
</file>