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D37" w:rsidRPr="00C556D9" w:rsidRDefault="00DE3D37" w:rsidP="00DE3D37">
      <w:pPr>
        <w:autoSpaceDE w:val="0"/>
        <w:autoSpaceDN w:val="0"/>
        <w:adjustRightInd w:val="0"/>
        <w:jc w:val="center"/>
        <w:rPr>
          <w:b/>
        </w:rPr>
      </w:pPr>
      <w:r w:rsidRPr="00C556D9">
        <w:rPr>
          <w:b/>
        </w:rPr>
        <w:t>О результатах проведения экспертизы проектов решений</w:t>
      </w:r>
    </w:p>
    <w:p w:rsidR="00DE3D37" w:rsidRPr="00C556D9" w:rsidRDefault="00DE3D37" w:rsidP="00DE3D37">
      <w:pPr>
        <w:autoSpaceDE w:val="0"/>
        <w:autoSpaceDN w:val="0"/>
        <w:adjustRightInd w:val="0"/>
        <w:jc w:val="center"/>
        <w:rPr>
          <w:b/>
        </w:rPr>
      </w:pPr>
      <w:r w:rsidRPr="00C556D9">
        <w:rPr>
          <w:b/>
        </w:rPr>
        <w:t xml:space="preserve">Совета МО ГО "Сыктывкар" </w:t>
      </w:r>
    </w:p>
    <w:p w:rsidR="00DE3D37" w:rsidRPr="00C556D9" w:rsidRDefault="00DE3D37" w:rsidP="000C25EB">
      <w:pPr>
        <w:pStyle w:val="a6"/>
        <w:spacing w:before="120" w:after="120"/>
        <w:ind w:left="0" w:firstLine="567"/>
        <w:contextualSpacing w:val="0"/>
        <w:jc w:val="both"/>
      </w:pPr>
      <w:r w:rsidRPr="00C556D9">
        <w:t xml:space="preserve">Контрольно-счетная палата муниципального образования городского округа "Сыктывкар" провела экспертизу проектов решений включенных в повестку заседания Совета МО ГО "Сыктывкар" в </w:t>
      </w:r>
      <w:r w:rsidR="00943136">
        <w:t>сентябре</w:t>
      </w:r>
      <w:r w:rsidRPr="00C556D9">
        <w:t xml:space="preserve"> 2022 года.</w:t>
      </w:r>
    </w:p>
    <w:p w:rsidR="00DE3D37" w:rsidRPr="000C25EB" w:rsidRDefault="00DE3D37" w:rsidP="000C25EB">
      <w:pPr>
        <w:autoSpaceDE w:val="0"/>
        <w:autoSpaceDN w:val="0"/>
        <w:adjustRightInd w:val="0"/>
        <w:spacing w:before="60"/>
        <w:ind w:firstLine="567"/>
        <w:jc w:val="both"/>
        <w:rPr>
          <w:b/>
        </w:rPr>
      </w:pPr>
      <w:r w:rsidRPr="000C25EB">
        <w:rPr>
          <w:b/>
        </w:rPr>
        <w:t>"О внесении изменений в решение Совета МО ГО "Сыктывкар" от 16.12.2021 №</w:t>
      </w:r>
      <w:r w:rsidR="00E24310">
        <w:rPr>
          <w:b/>
        </w:rPr>
        <w:t> </w:t>
      </w:r>
      <w:r w:rsidRPr="000C25EB">
        <w:rPr>
          <w:b/>
        </w:rPr>
        <w:t>11/2021-161 "О бюджете МО ГО "Сыктывкар" на 2022 год и плановый период 2023 и 2024 годов"</w:t>
      </w:r>
    </w:p>
    <w:p w:rsidR="00DE3D37" w:rsidRPr="00F13663" w:rsidRDefault="00DE3D37" w:rsidP="000C25EB">
      <w:pPr>
        <w:autoSpaceDE w:val="0"/>
        <w:autoSpaceDN w:val="0"/>
        <w:adjustRightInd w:val="0"/>
        <w:spacing w:before="60"/>
        <w:ind w:firstLine="567"/>
        <w:jc w:val="both"/>
      </w:pPr>
      <w:r w:rsidRPr="00F13663">
        <w:t>Проектом решения предусмотрено увеличение доходной части муниципального бюджета:</w:t>
      </w:r>
    </w:p>
    <w:p w:rsidR="00DE3D37" w:rsidRPr="00F13663" w:rsidRDefault="00DE3D37" w:rsidP="000C25EB">
      <w:pPr>
        <w:autoSpaceDE w:val="0"/>
        <w:autoSpaceDN w:val="0"/>
        <w:adjustRightInd w:val="0"/>
        <w:ind w:firstLine="567"/>
        <w:jc w:val="both"/>
      </w:pPr>
      <w:r w:rsidRPr="00F13663">
        <w:t>в 2022 году с 10</w:t>
      </w:r>
      <w:r w:rsidR="003C66DE" w:rsidRPr="00F13663">
        <w:t xml:space="preserve"> </w:t>
      </w:r>
      <w:r w:rsidRPr="00F13663">
        <w:t>41</w:t>
      </w:r>
      <w:r w:rsidR="003C66DE" w:rsidRPr="00F13663">
        <w:t>6</w:t>
      </w:r>
      <w:r w:rsidRPr="00F13663">
        <w:t xml:space="preserve"> 248,0 </w:t>
      </w:r>
      <w:r w:rsidR="003C66DE" w:rsidRPr="00F13663">
        <w:t xml:space="preserve">до 11 206 589,6 </w:t>
      </w:r>
      <w:r w:rsidRPr="00F13663">
        <w:t>тыс. рублей (+</w:t>
      </w:r>
      <w:r w:rsidR="003C66DE" w:rsidRPr="00F13663">
        <w:t>790 341,6</w:t>
      </w:r>
      <w:r w:rsidRPr="00F13663">
        <w:t xml:space="preserve"> тыс. рублей);</w:t>
      </w:r>
    </w:p>
    <w:p w:rsidR="00DE3D37" w:rsidRPr="00F13663" w:rsidRDefault="00DE3D37" w:rsidP="000C25EB">
      <w:pPr>
        <w:autoSpaceDE w:val="0"/>
        <w:autoSpaceDN w:val="0"/>
        <w:adjustRightInd w:val="0"/>
        <w:ind w:firstLine="567"/>
        <w:jc w:val="both"/>
      </w:pPr>
      <w:r w:rsidRPr="00F13663">
        <w:t xml:space="preserve">в 2023 году с 9 836 751,4 </w:t>
      </w:r>
      <w:r w:rsidR="00F13663" w:rsidRPr="00F13663">
        <w:t xml:space="preserve">до 9 902 853,3 </w:t>
      </w:r>
      <w:r w:rsidRPr="00F13663">
        <w:t>тыс. рублей (+</w:t>
      </w:r>
      <w:r w:rsidR="00F13663" w:rsidRPr="00F13663">
        <w:t>66 101,9</w:t>
      </w:r>
      <w:r w:rsidRPr="00F13663">
        <w:t xml:space="preserve"> тыс. рублей);</w:t>
      </w:r>
    </w:p>
    <w:p w:rsidR="00DE3D37" w:rsidRPr="00F13663" w:rsidRDefault="00DE3D37" w:rsidP="000C25EB">
      <w:pPr>
        <w:autoSpaceDE w:val="0"/>
        <w:autoSpaceDN w:val="0"/>
        <w:adjustRightInd w:val="0"/>
        <w:ind w:firstLine="567"/>
        <w:jc w:val="both"/>
      </w:pPr>
      <w:r w:rsidRPr="00F13663">
        <w:t xml:space="preserve">в 2024 году с </w:t>
      </w:r>
      <w:r w:rsidR="000C25EB" w:rsidRPr="00F13663">
        <w:t>10 128 166,2</w:t>
      </w:r>
      <w:r w:rsidRPr="00F13663">
        <w:t xml:space="preserve"> </w:t>
      </w:r>
      <w:r w:rsidR="00F13663" w:rsidRPr="00F13663">
        <w:t>до 10 195 353,9</w:t>
      </w:r>
      <w:r w:rsidRPr="00F13663">
        <w:t>тыс. рублей (+</w:t>
      </w:r>
      <w:r w:rsidR="00F13663" w:rsidRPr="00F13663">
        <w:t>67 187,7</w:t>
      </w:r>
      <w:r w:rsidRPr="00F13663">
        <w:t xml:space="preserve"> тыс. рублей).</w:t>
      </w:r>
    </w:p>
    <w:p w:rsidR="00DE3D37" w:rsidRPr="00F13663" w:rsidRDefault="00DE3D37" w:rsidP="000C25EB">
      <w:pPr>
        <w:autoSpaceDE w:val="0"/>
        <w:autoSpaceDN w:val="0"/>
        <w:adjustRightInd w:val="0"/>
        <w:ind w:firstLine="567"/>
        <w:jc w:val="both"/>
      </w:pPr>
      <w:r w:rsidRPr="00F13663">
        <w:t xml:space="preserve">Проектом решения предусмотрено увеличение общего объема расходов муниципального бюджета: </w:t>
      </w:r>
    </w:p>
    <w:p w:rsidR="00DE3D37" w:rsidRPr="00B97CEE" w:rsidRDefault="00DE3D37" w:rsidP="000C25EB">
      <w:pPr>
        <w:autoSpaceDE w:val="0"/>
        <w:autoSpaceDN w:val="0"/>
        <w:adjustRightInd w:val="0"/>
        <w:ind w:firstLine="567"/>
        <w:jc w:val="both"/>
      </w:pPr>
      <w:r w:rsidRPr="00B97CEE">
        <w:t xml:space="preserve">в 2022 году с 10 </w:t>
      </w:r>
      <w:r w:rsidR="000C25EB" w:rsidRPr="00B97CEE">
        <w:t>947 027,0</w:t>
      </w:r>
      <w:r w:rsidRPr="00B97CEE">
        <w:t xml:space="preserve"> </w:t>
      </w:r>
      <w:r w:rsidR="00833043" w:rsidRPr="00B97CEE">
        <w:t xml:space="preserve">до 11 737 </w:t>
      </w:r>
      <w:r w:rsidR="00B97CEE" w:rsidRPr="00B97CEE">
        <w:t xml:space="preserve">368,6 </w:t>
      </w:r>
      <w:r w:rsidRPr="00B97CEE">
        <w:t>тыс. рублей (+</w:t>
      </w:r>
      <w:r w:rsidR="00B97CEE" w:rsidRPr="00B97CEE">
        <w:t>790 341,6</w:t>
      </w:r>
      <w:r w:rsidRPr="00B97CEE">
        <w:t xml:space="preserve"> тыс. рублей);</w:t>
      </w:r>
    </w:p>
    <w:p w:rsidR="00DE3D37" w:rsidRPr="00B97CEE" w:rsidRDefault="00DE3D37" w:rsidP="000C25EB">
      <w:pPr>
        <w:autoSpaceDE w:val="0"/>
        <w:autoSpaceDN w:val="0"/>
        <w:adjustRightInd w:val="0"/>
        <w:ind w:firstLine="567"/>
        <w:jc w:val="both"/>
      </w:pPr>
      <w:r w:rsidRPr="00B97CEE">
        <w:t xml:space="preserve">в 2023 году с </w:t>
      </w:r>
      <w:r w:rsidR="000C25EB" w:rsidRPr="00B97CEE">
        <w:t>10 158 047,7</w:t>
      </w:r>
      <w:r w:rsidRPr="00B97CEE">
        <w:t xml:space="preserve"> </w:t>
      </w:r>
      <w:r w:rsidR="00B97CEE" w:rsidRPr="00B97CEE">
        <w:t xml:space="preserve">до 10 224 149,6 </w:t>
      </w:r>
      <w:r w:rsidRPr="00B97CEE">
        <w:t>тыс. рублей (+</w:t>
      </w:r>
      <w:r w:rsidR="00B97CEE" w:rsidRPr="00B97CEE">
        <w:t>66 101,9</w:t>
      </w:r>
      <w:r w:rsidRPr="00B97CEE">
        <w:t xml:space="preserve"> тыс. рублей);</w:t>
      </w:r>
    </w:p>
    <w:p w:rsidR="00DE3D37" w:rsidRPr="00B97CEE" w:rsidRDefault="00DE3D37" w:rsidP="000C25EB">
      <w:pPr>
        <w:autoSpaceDE w:val="0"/>
        <w:autoSpaceDN w:val="0"/>
        <w:adjustRightInd w:val="0"/>
        <w:ind w:firstLine="567"/>
        <w:jc w:val="both"/>
      </w:pPr>
      <w:r w:rsidRPr="00B97CEE">
        <w:t xml:space="preserve">в 2024 году с </w:t>
      </w:r>
      <w:r w:rsidR="000C25EB" w:rsidRPr="00B97CEE">
        <w:t>10 436 515,8</w:t>
      </w:r>
      <w:r w:rsidRPr="00B97CEE">
        <w:t xml:space="preserve"> </w:t>
      </w:r>
      <w:r w:rsidR="00B97CEE" w:rsidRPr="00B97CEE">
        <w:t>до 10 503 703,5</w:t>
      </w:r>
      <w:r w:rsidRPr="00B97CEE">
        <w:t>тыс. рублей (+</w:t>
      </w:r>
      <w:r w:rsidR="00B97CEE" w:rsidRPr="00B97CEE">
        <w:t>67 187,7</w:t>
      </w:r>
      <w:r w:rsidRPr="00B97CEE">
        <w:t xml:space="preserve"> тыс. рублей).</w:t>
      </w:r>
    </w:p>
    <w:p w:rsidR="00DE3D37" w:rsidRPr="00B97CEE" w:rsidRDefault="00DE3D37" w:rsidP="000C25EB">
      <w:pPr>
        <w:autoSpaceDE w:val="0"/>
        <w:autoSpaceDN w:val="0"/>
        <w:adjustRightInd w:val="0"/>
        <w:spacing w:before="60"/>
        <w:ind w:firstLine="567"/>
        <w:jc w:val="both"/>
      </w:pPr>
      <w:r w:rsidRPr="00B97CEE">
        <w:t>Основные причины изменений, вносимых в расходную часть бюджета:</w:t>
      </w:r>
    </w:p>
    <w:p w:rsidR="00DE3D37" w:rsidRPr="00B97CEE" w:rsidRDefault="00DE3D37" w:rsidP="000C25EB">
      <w:pPr>
        <w:autoSpaceDE w:val="0"/>
        <w:autoSpaceDN w:val="0"/>
        <w:adjustRightInd w:val="0"/>
        <w:ind w:firstLine="567"/>
        <w:jc w:val="both"/>
      </w:pPr>
      <w:r w:rsidRPr="00B97CEE">
        <w:t>- увеличение объема налоговых и неналоговых доходов;</w:t>
      </w:r>
    </w:p>
    <w:p w:rsidR="00DE3D37" w:rsidRPr="00B97CEE" w:rsidRDefault="00DE3D37" w:rsidP="000C25EB">
      <w:pPr>
        <w:autoSpaceDE w:val="0"/>
        <w:autoSpaceDN w:val="0"/>
        <w:adjustRightInd w:val="0"/>
        <w:ind w:firstLine="567"/>
        <w:jc w:val="both"/>
      </w:pPr>
      <w:r w:rsidRPr="00B97CEE">
        <w:t>- увеличение объема безвозмездных поступлений;</w:t>
      </w:r>
    </w:p>
    <w:p w:rsidR="00B97CEE" w:rsidRPr="00B97CEE" w:rsidRDefault="00B97CEE" w:rsidP="00B97CEE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B97CEE">
        <w:t xml:space="preserve">по основаниям, установленным статьей 217 Бюджетного кодекса РФ, и дополнительным основаниям, установленным решением о бюджете МО ГО </w:t>
      </w:r>
      <w:r>
        <w:t>"</w:t>
      </w:r>
      <w:r w:rsidRPr="00B97CEE">
        <w:t>Сыктывкар</w:t>
      </w:r>
      <w:r>
        <w:t>".</w:t>
      </w:r>
    </w:p>
    <w:p w:rsidR="00233038" w:rsidRPr="00636F06" w:rsidRDefault="00233038" w:rsidP="00233038">
      <w:pPr>
        <w:autoSpaceDE w:val="0"/>
        <w:autoSpaceDN w:val="0"/>
        <w:adjustRightInd w:val="0"/>
        <w:spacing w:before="120"/>
        <w:ind w:firstLine="567"/>
        <w:jc w:val="both"/>
      </w:pPr>
      <w:r w:rsidRPr="00636F06">
        <w:t xml:space="preserve">Проектом решения планируется </w:t>
      </w:r>
      <w:r w:rsidRPr="00233038">
        <w:t>снижение</w:t>
      </w:r>
      <w:r w:rsidRPr="00636F06">
        <w:t xml:space="preserve"> объема бюджетных ассигнований</w:t>
      </w:r>
      <w:r w:rsidRPr="00636F06">
        <w:rPr>
          <w:b/>
        </w:rPr>
        <w:t xml:space="preserve"> </w:t>
      </w:r>
      <w:r>
        <w:t xml:space="preserve">в </w:t>
      </w:r>
      <w:r w:rsidRPr="00636F06">
        <w:t>2022 год</w:t>
      </w:r>
      <w:r>
        <w:t>у</w:t>
      </w:r>
      <w:r w:rsidRPr="00636F06">
        <w:t xml:space="preserve"> на </w:t>
      </w:r>
      <w:r w:rsidRPr="00233038">
        <w:t>реализацию инвестиционных проектов</w:t>
      </w:r>
      <w:r w:rsidRPr="00636F06">
        <w:t>, финансируемых за счет бюджетных средств</w:t>
      </w:r>
      <w:r>
        <w:t xml:space="preserve">, </w:t>
      </w:r>
      <w:r w:rsidRPr="00636F06">
        <w:t xml:space="preserve">на </w:t>
      </w:r>
      <w:r>
        <w:t>82 046,8</w:t>
      </w:r>
      <w:r w:rsidRPr="00636F06">
        <w:t xml:space="preserve"> тыс. рублей (с </w:t>
      </w:r>
      <w:r w:rsidRPr="009B2577">
        <w:t>526</w:t>
      </w:r>
      <w:r>
        <w:t> </w:t>
      </w:r>
      <w:r w:rsidRPr="009B2577">
        <w:t>435,8</w:t>
      </w:r>
      <w:r w:rsidRPr="00636F06">
        <w:t xml:space="preserve"> до </w:t>
      </w:r>
      <w:r w:rsidRPr="00B41381">
        <w:t>444</w:t>
      </w:r>
      <w:r>
        <w:t> </w:t>
      </w:r>
      <w:r w:rsidRPr="00B41381">
        <w:t>389</w:t>
      </w:r>
      <w:r>
        <w:t>,0</w:t>
      </w:r>
      <w:r w:rsidRPr="00636F06">
        <w:t xml:space="preserve"> тыс. рублей)</w:t>
      </w:r>
      <w:r>
        <w:t>.</w:t>
      </w:r>
    </w:p>
    <w:p w:rsidR="00233038" w:rsidRPr="00842182" w:rsidRDefault="00F75DFE" w:rsidP="00233038">
      <w:pPr>
        <w:autoSpaceDE w:val="0"/>
        <w:autoSpaceDN w:val="0"/>
        <w:adjustRightInd w:val="0"/>
        <w:ind w:firstLine="567"/>
        <w:jc w:val="both"/>
      </w:pPr>
      <w:r>
        <w:t xml:space="preserve">Отмечается увеличение </w:t>
      </w:r>
      <w:r w:rsidRPr="00636F06">
        <w:t>объема бюджетных ассигнований</w:t>
      </w:r>
      <w:r w:rsidRPr="00636F06">
        <w:rPr>
          <w:b/>
        </w:rPr>
        <w:t xml:space="preserve"> </w:t>
      </w:r>
      <w:r>
        <w:t xml:space="preserve">в </w:t>
      </w:r>
      <w:r w:rsidRPr="00636F06">
        <w:t>2022 год</w:t>
      </w:r>
      <w:r>
        <w:t>у</w:t>
      </w:r>
      <w:r w:rsidRPr="00636F06">
        <w:t xml:space="preserve"> </w:t>
      </w:r>
      <w:r w:rsidRPr="00F75DFE">
        <w:t xml:space="preserve">на </w:t>
      </w:r>
      <w:r w:rsidR="00233038" w:rsidRPr="00F75DFE">
        <w:t xml:space="preserve">исполнение судебных актов по обращению взыскания на средства бюджета, на 17 138,2 </w:t>
      </w:r>
      <w:r w:rsidR="00233038" w:rsidRPr="00842182">
        <w:t xml:space="preserve">тыс. рублей </w:t>
      </w:r>
      <w:r w:rsidR="00B6051C">
        <w:br/>
      </w:r>
      <w:r w:rsidR="00233038" w:rsidRPr="00842182">
        <w:t xml:space="preserve">(с </w:t>
      </w:r>
      <w:r w:rsidR="00233038" w:rsidRPr="00155EE5">
        <w:t>81 930,3</w:t>
      </w:r>
      <w:r w:rsidR="00233038">
        <w:t xml:space="preserve"> до </w:t>
      </w:r>
      <w:r w:rsidR="00233038" w:rsidRPr="00155EE5">
        <w:t>99 068,5</w:t>
      </w:r>
      <w:r w:rsidR="00233038" w:rsidRPr="00842182">
        <w:t xml:space="preserve"> тыс. рублей).</w:t>
      </w:r>
    </w:p>
    <w:p w:rsidR="00F75DFE" w:rsidRPr="009E7BC0" w:rsidRDefault="00F75DFE" w:rsidP="00F75DFE">
      <w:pPr>
        <w:autoSpaceDE w:val="0"/>
        <w:autoSpaceDN w:val="0"/>
        <w:adjustRightInd w:val="0"/>
        <w:spacing w:before="60"/>
        <w:ind w:firstLine="567"/>
        <w:jc w:val="both"/>
      </w:pPr>
      <w:r w:rsidRPr="009E7BC0">
        <w:t>Прогнозируемый размер дефицита бюджета:</w:t>
      </w:r>
    </w:p>
    <w:p w:rsidR="00F75DFE" w:rsidRPr="009E7BC0" w:rsidRDefault="00F75DFE" w:rsidP="00F75DFE">
      <w:pPr>
        <w:autoSpaceDE w:val="0"/>
        <w:autoSpaceDN w:val="0"/>
        <w:adjustRightInd w:val="0"/>
        <w:ind w:firstLine="567"/>
        <w:jc w:val="both"/>
      </w:pPr>
      <w:r w:rsidRPr="009E7BC0">
        <w:t xml:space="preserve">2022 год </w:t>
      </w:r>
      <w:r w:rsidRPr="009E7BC0">
        <w:rPr>
          <w:bCs/>
        </w:rPr>
        <w:t>–</w:t>
      </w:r>
      <w:r w:rsidRPr="009E7BC0">
        <w:t xml:space="preserve"> 530 779,0 тыс. рублей (</w:t>
      </w:r>
      <w:r w:rsidRPr="009E7BC0">
        <w:rPr>
          <w:bCs/>
        </w:rPr>
        <w:t>без изменений</w:t>
      </w:r>
      <w:r w:rsidRPr="009E7BC0">
        <w:t>);</w:t>
      </w:r>
    </w:p>
    <w:p w:rsidR="00F75DFE" w:rsidRPr="009E7BC0" w:rsidRDefault="00F75DFE" w:rsidP="00F75DFE">
      <w:pPr>
        <w:ind w:firstLine="567"/>
        <w:jc w:val="both"/>
        <w:rPr>
          <w:bCs/>
        </w:rPr>
      </w:pPr>
      <w:r w:rsidRPr="009E7BC0">
        <w:rPr>
          <w:bCs/>
        </w:rPr>
        <w:t>2023 год – 321 296,3 тыс. рублей (без изменений);</w:t>
      </w:r>
    </w:p>
    <w:p w:rsidR="00F75DFE" w:rsidRDefault="00F75DFE" w:rsidP="00F75DFE">
      <w:pPr>
        <w:ind w:firstLine="567"/>
        <w:jc w:val="both"/>
        <w:rPr>
          <w:bCs/>
        </w:rPr>
      </w:pPr>
      <w:r w:rsidRPr="009E7BC0">
        <w:rPr>
          <w:bCs/>
        </w:rPr>
        <w:t>2024 год – 308 349,6 тыс. рублей (без изменений).</w:t>
      </w:r>
    </w:p>
    <w:p w:rsidR="00DE3D37" w:rsidRPr="009E7BC0" w:rsidRDefault="00DE3D37" w:rsidP="000C25EB">
      <w:pPr>
        <w:autoSpaceDE w:val="0"/>
        <w:autoSpaceDN w:val="0"/>
        <w:adjustRightInd w:val="0"/>
        <w:ind w:firstLine="567"/>
        <w:jc w:val="both"/>
      </w:pPr>
      <w:r w:rsidRPr="009E7BC0">
        <w:t xml:space="preserve">Планируемый размер дефицита бюджета на текущий финансовый год и на плановый период не </w:t>
      </w:r>
      <w:proofErr w:type="gramStart"/>
      <w:r w:rsidRPr="009E7BC0">
        <w:t>противоречит требованиям пункта 3 статьи 92.1 Бюджетного кодекса Российской Федерации и в соответствии с требованиями бюджетного законодательства в полном объеме покрывается</w:t>
      </w:r>
      <w:proofErr w:type="gramEnd"/>
      <w:r w:rsidRPr="009E7BC0">
        <w:t xml:space="preserve"> источниками финансирования дефицита бюджета.</w:t>
      </w:r>
    </w:p>
    <w:p w:rsidR="000C25EB" w:rsidRPr="009E7BC0" w:rsidRDefault="000C25EB" w:rsidP="000C25EB">
      <w:pPr>
        <w:autoSpaceDE w:val="0"/>
        <w:autoSpaceDN w:val="0"/>
        <w:adjustRightInd w:val="0"/>
        <w:spacing w:before="120"/>
        <w:ind w:firstLine="567"/>
        <w:jc w:val="both"/>
      </w:pPr>
      <w:r w:rsidRPr="009E7BC0">
        <w:t>Проектом решения предлагается у</w:t>
      </w:r>
      <w:r w:rsidR="009E7BC0" w:rsidRPr="009E7BC0">
        <w:t>велич</w:t>
      </w:r>
      <w:r w:rsidRPr="009E7BC0">
        <w:t xml:space="preserve">ить плановые значения </w:t>
      </w:r>
      <w:r w:rsidRPr="009E7BC0">
        <w:rPr>
          <w:i/>
        </w:rPr>
        <w:t>верхнего предела муниципального долга</w:t>
      </w:r>
      <w:r w:rsidRPr="009E7BC0">
        <w:t xml:space="preserve"> по итогам 2022-2024 годов на 293,</w:t>
      </w:r>
      <w:r w:rsidR="009E7BC0" w:rsidRPr="009E7BC0">
        <w:t>0</w:t>
      </w:r>
      <w:r w:rsidRPr="009E7BC0">
        <w:t xml:space="preserve"> тыс. рублей:</w:t>
      </w:r>
    </w:p>
    <w:p w:rsidR="000C25EB" w:rsidRPr="009E7BC0" w:rsidRDefault="000C25EB" w:rsidP="000C25EB">
      <w:pPr>
        <w:autoSpaceDE w:val="0"/>
        <w:autoSpaceDN w:val="0"/>
        <w:adjustRightInd w:val="0"/>
        <w:ind w:firstLine="567"/>
        <w:jc w:val="both"/>
      </w:pPr>
      <w:r w:rsidRPr="009E7BC0">
        <w:t xml:space="preserve">по состоянию на 1 января 2023 года с 1 226 296,4 </w:t>
      </w:r>
      <w:r w:rsidR="009E7BC0" w:rsidRPr="009E7BC0">
        <w:t xml:space="preserve">до 1 226 589,4 </w:t>
      </w:r>
      <w:r w:rsidRPr="009E7BC0">
        <w:t>тыс. рублей;</w:t>
      </w:r>
    </w:p>
    <w:p w:rsidR="000C25EB" w:rsidRPr="009E7BC0" w:rsidRDefault="000C25EB" w:rsidP="000C25EB">
      <w:pPr>
        <w:autoSpaceDE w:val="0"/>
        <w:autoSpaceDN w:val="0"/>
        <w:adjustRightInd w:val="0"/>
        <w:ind w:firstLine="567"/>
        <w:jc w:val="both"/>
      </w:pPr>
      <w:r w:rsidRPr="009E7BC0">
        <w:t xml:space="preserve">по состоянию на 1 января 2024 года с 1 547 592,7 </w:t>
      </w:r>
      <w:r w:rsidR="009E7BC0" w:rsidRPr="009E7BC0">
        <w:t xml:space="preserve">до 1 547 885,7 </w:t>
      </w:r>
      <w:r w:rsidRPr="009E7BC0">
        <w:t>тыс. рублей;</w:t>
      </w:r>
    </w:p>
    <w:p w:rsidR="000C25EB" w:rsidRPr="009E7BC0" w:rsidRDefault="000C25EB" w:rsidP="000C25EB">
      <w:pPr>
        <w:ind w:firstLine="567"/>
        <w:jc w:val="both"/>
      </w:pPr>
      <w:r w:rsidRPr="009E7BC0">
        <w:t xml:space="preserve">по состоянию на 1 января 2025 года с 1 855 942,3 </w:t>
      </w:r>
      <w:r w:rsidR="009E7BC0" w:rsidRPr="009E7BC0">
        <w:t xml:space="preserve">до 1 856 235,3 </w:t>
      </w:r>
      <w:r w:rsidRPr="009E7BC0">
        <w:t>тыс. рублей.</w:t>
      </w:r>
    </w:p>
    <w:p w:rsidR="00F33CF1" w:rsidRPr="009E7BC0" w:rsidRDefault="00F33CF1" w:rsidP="000C25EB">
      <w:pPr>
        <w:autoSpaceDE w:val="0"/>
        <w:autoSpaceDN w:val="0"/>
        <w:adjustRightInd w:val="0"/>
        <w:ind w:firstLine="567"/>
        <w:jc w:val="both"/>
      </w:pPr>
    </w:p>
    <w:p w:rsidR="000C3611" w:rsidRPr="00EE6820" w:rsidRDefault="000C3611" w:rsidP="000C25EB">
      <w:pPr>
        <w:ind w:firstLine="567"/>
        <w:jc w:val="both"/>
      </w:pPr>
      <w:r w:rsidRPr="009E7BC0">
        <w:t xml:space="preserve">С учетом источников финансирования дефицита бюджета соблюден принцип сбалансированности по доходам и по расходам в соответствии с требованиями статьи 33 Бюджетного кодекса Российской </w:t>
      </w:r>
      <w:r w:rsidRPr="00EE6820">
        <w:t>Федерации.</w:t>
      </w:r>
    </w:p>
    <w:p w:rsidR="006C048E" w:rsidRDefault="006C048E" w:rsidP="000C25EB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F75DFE" w:rsidRDefault="00F75DFE" w:rsidP="000C25EB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F75DFE" w:rsidRDefault="00F75DFE" w:rsidP="000C25EB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F75DFE" w:rsidRPr="00EE6820" w:rsidRDefault="00F75DFE" w:rsidP="000C25EB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C556D9" w:rsidRPr="00EE6820" w:rsidRDefault="00C556D9" w:rsidP="000C25EB">
      <w:pPr>
        <w:pStyle w:val="a6"/>
        <w:spacing w:before="120"/>
        <w:ind w:left="0" w:firstLine="567"/>
        <w:jc w:val="both"/>
        <w:rPr>
          <w:szCs w:val="28"/>
        </w:rPr>
      </w:pPr>
      <w:r w:rsidRPr="00EE6820">
        <w:rPr>
          <w:b/>
          <w:szCs w:val="28"/>
        </w:rPr>
        <w:lastRenderedPageBreak/>
        <w:t>"О внесении изменений в решение Совета МО ГО "Сыктывкар" от 16.12.2021 № 11/2021-141 "Об утверждении прогнозного плана (программы) приватизации муниципального имущества на 2022 год"</w:t>
      </w:r>
    </w:p>
    <w:p w:rsidR="00C556D9" w:rsidRPr="00EE6820" w:rsidRDefault="00C556D9" w:rsidP="000C25EB">
      <w:pPr>
        <w:pStyle w:val="a6"/>
        <w:ind w:left="0" w:firstLine="567"/>
        <w:contextualSpacing w:val="0"/>
        <w:jc w:val="both"/>
      </w:pPr>
      <w:r w:rsidRPr="00EE6820">
        <w:rPr>
          <w:szCs w:val="28"/>
        </w:rPr>
        <w:t xml:space="preserve">Проектом решения предлагается откорректировать предполагаемые сроки приватизации нереализованных объектов, а также </w:t>
      </w:r>
      <w:r w:rsidR="00066538" w:rsidRPr="00EE6820">
        <w:rPr>
          <w:szCs w:val="28"/>
        </w:rPr>
        <w:t>ис</w:t>
      </w:r>
      <w:r w:rsidRPr="00EE6820">
        <w:rPr>
          <w:szCs w:val="28"/>
        </w:rPr>
        <w:t xml:space="preserve">ключить </w:t>
      </w:r>
      <w:r w:rsidR="00066538" w:rsidRPr="00EE6820">
        <w:rPr>
          <w:szCs w:val="28"/>
        </w:rPr>
        <w:t>из</w:t>
      </w:r>
      <w:r w:rsidRPr="00EE6820">
        <w:rPr>
          <w:szCs w:val="28"/>
        </w:rPr>
        <w:t xml:space="preserve"> перечн</w:t>
      </w:r>
      <w:r w:rsidR="00066538" w:rsidRPr="00EE6820">
        <w:rPr>
          <w:szCs w:val="28"/>
        </w:rPr>
        <w:t>я</w:t>
      </w:r>
      <w:r w:rsidRPr="00EE6820">
        <w:rPr>
          <w:szCs w:val="28"/>
        </w:rPr>
        <w:t xml:space="preserve"> объектов, подлежащих приватизации в 2022 году</w:t>
      </w:r>
      <w:r w:rsidR="00EE6820" w:rsidRPr="00EE6820">
        <w:rPr>
          <w:szCs w:val="28"/>
        </w:rPr>
        <w:t>,</w:t>
      </w:r>
      <w:r w:rsidRPr="00EE6820">
        <w:rPr>
          <w:szCs w:val="28"/>
        </w:rPr>
        <w:t xml:space="preserve"> </w:t>
      </w:r>
      <w:r w:rsidR="00066538" w:rsidRPr="00EE6820">
        <w:rPr>
          <w:szCs w:val="28"/>
        </w:rPr>
        <w:t>муниципальное</w:t>
      </w:r>
      <w:r w:rsidRPr="00EE6820">
        <w:rPr>
          <w:szCs w:val="28"/>
        </w:rPr>
        <w:t xml:space="preserve"> имуществ</w:t>
      </w:r>
      <w:r w:rsidR="00066538" w:rsidRPr="00EE6820">
        <w:rPr>
          <w:szCs w:val="28"/>
        </w:rPr>
        <w:t>о: "Д</w:t>
      </w:r>
      <w:r w:rsidRPr="00EE6820">
        <w:t>ол</w:t>
      </w:r>
      <w:r w:rsidR="00EE6820" w:rsidRPr="00EE6820">
        <w:t>я</w:t>
      </w:r>
      <w:r w:rsidRPr="00EE6820">
        <w:t xml:space="preserve"> в уставном капитале О</w:t>
      </w:r>
      <w:r w:rsidR="00EE6820" w:rsidRPr="00EE6820">
        <w:t>бщества с ограниченной ответственностью</w:t>
      </w:r>
      <w:r w:rsidRPr="00EE6820">
        <w:t xml:space="preserve"> "</w:t>
      </w:r>
      <w:proofErr w:type="gramStart"/>
      <w:r w:rsidRPr="00EE6820">
        <w:t>Карт-Центр</w:t>
      </w:r>
      <w:proofErr w:type="gramEnd"/>
      <w:r w:rsidRPr="00EE6820">
        <w:t xml:space="preserve"> Мета" в размере 0,34376%</w:t>
      </w:r>
      <w:r w:rsidR="00EE6820" w:rsidRPr="00EE6820">
        <w:t>"</w:t>
      </w:r>
      <w:r w:rsidRPr="00EE6820">
        <w:t>.</w:t>
      </w:r>
    </w:p>
    <w:p w:rsidR="00C556D9" w:rsidRDefault="00C556D9" w:rsidP="000C25EB">
      <w:pPr>
        <w:pStyle w:val="a6"/>
        <w:ind w:left="0" w:firstLine="567"/>
        <w:contextualSpacing w:val="0"/>
        <w:jc w:val="both"/>
        <w:rPr>
          <w:szCs w:val="28"/>
        </w:rPr>
      </w:pPr>
      <w:r w:rsidRPr="00EE6820">
        <w:rPr>
          <w:szCs w:val="28"/>
        </w:rPr>
        <w:t xml:space="preserve">Общий прогнозируемый доход от приватизации муниципального имущества в 2022 году, с учетом предлагаемых изменений, составит </w:t>
      </w:r>
      <w:r w:rsidRPr="00EE6820">
        <w:t>40,</w:t>
      </w:r>
      <w:r w:rsidR="00EE6820" w:rsidRPr="00EE6820">
        <w:t>2</w:t>
      </w:r>
      <w:r w:rsidRPr="00EE6820">
        <w:rPr>
          <w:szCs w:val="28"/>
        </w:rPr>
        <w:t xml:space="preserve"> млн. рублей (в том числе от продажи земельных участков под отдельно стоящими зданиями в объеме </w:t>
      </w:r>
      <w:r w:rsidRPr="00EE6820">
        <w:t>20,0</w:t>
      </w:r>
      <w:r w:rsidRPr="00EE6820">
        <w:rPr>
          <w:szCs w:val="28"/>
        </w:rPr>
        <w:t xml:space="preserve"> млн. рублей). </w:t>
      </w:r>
    </w:p>
    <w:p w:rsidR="0037708F" w:rsidRPr="00EE6820" w:rsidRDefault="0037708F" w:rsidP="000C25EB">
      <w:pPr>
        <w:pStyle w:val="a6"/>
        <w:ind w:left="0" w:firstLine="567"/>
        <w:contextualSpacing w:val="0"/>
        <w:jc w:val="both"/>
        <w:rPr>
          <w:szCs w:val="28"/>
        </w:rPr>
      </w:pPr>
      <w:r w:rsidRPr="00DA6461">
        <w:t>В заключени</w:t>
      </w:r>
      <w:proofErr w:type="gramStart"/>
      <w:r>
        <w:t>и</w:t>
      </w:r>
      <w:proofErr w:type="gramEnd"/>
      <w:r w:rsidRPr="00DA6461">
        <w:t xml:space="preserve"> Контрольно-счетной палаты указано</w:t>
      </w:r>
      <w:r>
        <w:t>, что наблюдается неисполнение установленных сроков приватизации объектов недвижимого имущества. Аналогичное замечание отражено в заключени</w:t>
      </w:r>
      <w:proofErr w:type="gramStart"/>
      <w:r>
        <w:t>и</w:t>
      </w:r>
      <w:proofErr w:type="gramEnd"/>
      <w:r>
        <w:t xml:space="preserve"> Контрольно-счетной палаты от 03.03.2022 № 05-03/42.</w:t>
      </w:r>
    </w:p>
    <w:p w:rsidR="00C556D9" w:rsidRPr="00773609" w:rsidRDefault="00C556D9" w:rsidP="000C25EB">
      <w:pPr>
        <w:pStyle w:val="a6"/>
        <w:spacing w:before="120"/>
        <w:ind w:left="0" w:firstLine="567"/>
        <w:jc w:val="both"/>
        <w:rPr>
          <w:b/>
          <w:szCs w:val="28"/>
        </w:rPr>
      </w:pPr>
    </w:p>
    <w:p w:rsidR="007F1F27" w:rsidRPr="00773609" w:rsidRDefault="007F1F27" w:rsidP="000C25EB">
      <w:pPr>
        <w:pStyle w:val="a6"/>
        <w:ind w:left="0" w:firstLine="567"/>
        <w:contextualSpacing w:val="0"/>
        <w:jc w:val="both"/>
        <w:rPr>
          <w:b/>
          <w:szCs w:val="28"/>
        </w:rPr>
      </w:pPr>
      <w:r w:rsidRPr="00773609">
        <w:rPr>
          <w:b/>
          <w:szCs w:val="28"/>
        </w:rPr>
        <w:t xml:space="preserve">"О внесении изменений в решение Совета МО ГО "Сыктывкар" от 27.04.2012 </w:t>
      </w:r>
      <w:r w:rsidRPr="00773609">
        <w:rPr>
          <w:b/>
          <w:szCs w:val="28"/>
        </w:rPr>
        <w:br/>
        <w:t>№ 08/2012-153 "О порядке определения платы за право размещения нестационарных торговых объектов на территории муниципального образования городского округа "Сыктывкар"</w:t>
      </w:r>
    </w:p>
    <w:p w:rsidR="00664937" w:rsidRPr="00664937" w:rsidRDefault="00664937" w:rsidP="00664937">
      <w:pPr>
        <w:autoSpaceDE w:val="0"/>
        <w:autoSpaceDN w:val="0"/>
        <w:adjustRightInd w:val="0"/>
        <w:ind w:firstLine="567"/>
        <w:jc w:val="both"/>
      </w:pPr>
      <w:r w:rsidRPr="00664937">
        <w:t>Проектом решения предлага</w:t>
      </w:r>
      <w:r w:rsidR="000A228D">
        <w:t>лось</w:t>
      </w:r>
      <w:r w:rsidRPr="00664937">
        <w:t xml:space="preserve"> увеличить базовые размеры платы за право размещения нестационарных торговых объектов на территории МО ГО "Сыктывкар" на уровень инфляции за 2016 – 2021 годы (нарастающим итогом). Кроме того, предлага</w:t>
      </w:r>
      <w:r w:rsidR="00C33997">
        <w:t>лось</w:t>
      </w:r>
      <w:r w:rsidRPr="00664937">
        <w:t xml:space="preserve"> с 2023 года корректировать размер платы (при заключении новых договоров) на каждый очередной год (сезон) на уровень инфляции.</w:t>
      </w:r>
    </w:p>
    <w:p w:rsidR="00DA62FC" w:rsidRPr="00DA6461" w:rsidRDefault="00DA6461" w:rsidP="000C25EB">
      <w:pPr>
        <w:autoSpaceDE w:val="0"/>
        <w:autoSpaceDN w:val="0"/>
        <w:adjustRightInd w:val="0"/>
        <w:ind w:firstLine="567"/>
        <w:jc w:val="both"/>
      </w:pPr>
      <w:r w:rsidRPr="00DA6461">
        <w:t>В заключениях Контрольно-счетной палаты указано, что в проекте решения предложен некорректный период индексации. Базовые размеры платы уже индексировались в 2017 году на уровень инфляции за 2016 год, повторное применение индекса потребительских цен за 2016 год не обосновано.</w:t>
      </w:r>
    </w:p>
    <w:p w:rsidR="00F4117E" w:rsidRPr="00773609" w:rsidRDefault="00DA6461" w:rsidP="000C25EB">
      <w:pPr>
        <w:autoSpaceDE w:val="0"/>
        <w:autoSpaceDN w:val="0"/>
        <w:adjustRightInd w:val="0"/>
        <w:ind w:firstLine="567"/>
        <w:jc w:val="both"/>
      </w:pPr>
      <w:r>
        <w:t xml:space="preserve">Контрольно-счетной палатой предложено </w:t>
      </w:r>
      <w:r w:rsidR="00773609" w:rsidRPr="00664937">
        <w:t>увеличить базовые размеры платы</w:t>
      </w:r>
      <w:r w:rsidR="00773609" w:rsidRPr="00773609">
        <w:t xml:space="preserve"> </w:t>
      </w:r>
      <w:r w:rsidR="00773609" w:rsidRPr="00664937">
        <w:t xml:space="preserve">на уровень инфляции за </w:t>
      </w:r>
      <w:r w:rsidR="00773609">
        <w:t xml:space="preserve">период </w:t>
      </w:r>
      <w:r w:rsidR="00773609" w:rsidRPr="00664937">
        <w:t>201</w:t>
      </w:r>
      <w:r w:rsidR="00773609">
        <w:t>7</w:t>
      </w:r>
      <w:r w:rsidR="00773609" w:rsidRPr="00664937">
        <w:t xml:space="preserve"> </w:t>
      </w:r>
      <w:r w:rsidR="00773609">
        <w:t xml:space="preserve">год </w:t>
      </w:r>
      <w:r w:rsidR="00773609" w:rsidRPr="00664937">
        <w:t xml:space="preserve">– </w:t>
      </w:r>
      <w:r w:rsidR="00773609">
        <w:t xml:space="preserve">7 месяцев </w:t>
      </w:r>
      <w:r w:rsidR="00773609" w:rsidRPr="00664937">
        <w:t>202</w:t>
      </w:r>
      <w:r w:rsidR="00773609">
        <w:t>2</w:t>
      </w:r>
      <w:r w:rsidR="00773609" w:rsidRPr="00664937">
        <w:t xml:space="preserve"> год</w:t>
      </w:r>
      <w:r w:rsidR="00773609">
        <w:t>а.</w:t>
      </w:r>
    </w:p>
    <w:p w:rsidR="00F4117E" w:rsidRPr="00773609" w:rsidRDefault="00773609" w:rsidP="000C25EB">
      <w:pPr>
        <w:autoSpaceDE w:val="0"/>
        <w:autoSpaceDN w:val="0"/>
        <w:adjustRightInd w:val="0"/>
        <w:ind w:firstLine="567"/>
        <w:jc w:val="both"/>
      </w:pPr>
      <w:r w:rsidRPr="00773609">
        <w:t>Проект решения откорректирован с учетом предложения Контрольно-счетной палаты</w:t>
      </w:r>
      <w:r w:rsidR="000E2C04">
        <w:t>, что позволило не допустить занижение уровня индексации базовых размеров платы и повысить неналоговые доходы бюджета МО ГО "Сыктывкар"</w:t>
      </w:r>
      <w:r w:rsidRPr="00773609">
        <w:t>.</w:t>
      </w:r>
    </w:p>
    <w:p w:rsidR="00F4117E" w:rsidRDefault="00F4117E" w:rsidP="000C25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4117E" w:rsidRPr="00F4117E" w:rsidRDefault="00F4117E" w:rsidP="00F4117E">
      <w:pPr>
        <w:autoSpaceDE w:val="0"/>
        <w:autoSpaceDN w:val="0"/>
        <w:adjustRightInd w:val="0"/>
        <w:ind w:firstLine="567"/>
        <w:jc w:val="both"/>
        <w:rPr>
          <w:b/>
        </w:rPr>
      </w:pPr>
      <w:r w:rsidRPr="00F4117E">
        <w:rPr>
          <w:b/>
        </w:rPr>
        <w:t xml:space="preserve">"О внесении изменений в решение Совета МО ГО "Сыктывкар" от 10.12.2019 </w:t>
      </w:r>
      <w:r w:rsidR="00773609">
        <w:rPr>
          <w:b/>
        </w:rPr>
        <w:br/>
      </w:r>
      <w:r w:rsidRPr="00F4117E">
        <w:rPr>
          <w:b/>
        </w:rPr>
        <w:t>№ 44/2019-617 "Об утверждении Положения о порядке управления и распоряжения имуществом, находящимся в собственности муниципального образования городского округа "Сыктывкар"</w:t>
      </w:r>
    </w:p>
    <w:p w:rsidR="008678A2" w:rsidRPr="008678A2" w:rsidRDefault="008678A2" w:rsidP="008678A2">
      <w:pPr>
        <w:autoSpaceDE w:val="0"/>
        <w:autoSpaceDN w:val="0"/>
        <w:adjustRightInd w:val="0"/>
        <w:spacing w:before="60"/>
        <w:ind w:firstLine="567"/>
        <w:jc w:val="both"/>
      </w:pPr>
      <w:r w:rsidRPr="008678A2">
        <w:t xml:space="preserve">В случаях привлечения заемных средств муниципальными предприятиями в качестве способа обеспечения обязательств возникает необходимость передачи муниципального имущества в </w:t>
      </w:r>
      <w:proofErr w:type="gramStart"/>
      <w:r w:rsidRPr="008678A2">
        <w:t>залог</w:t>
      </w:r>
      <w:proofErr w:type="gramEnd"/>
      <w:r w:rsidRPr="008678A2">
        <w:t xml:space="preserve"> кредитным организациям. </w:t>
      </w:r>
    </w:p>
    <w:p w:rsidR="00F4117E" w:rsidRPr="00F4117E" w:rsidRDefault="00F4117E" w:rsidP="008678A2">
      <w:pPr>
        <w:autoSpaceDE w:val="0"/>
        <w:autoSpaceDN w:val="0"/>
        <w:adjustRightInd w:val="0"/>
        <w:ind w:firstLine="567"/>
        <w:jc w:val="both"/>
      </w:pPr>
      <w:r w:rsidRPr="00F4117E">
        <w:t>Проектом решения предлага</w:t>
      </w:r>
      <w:r w:rsidR="007F60C5">
        <w:t>лось</w:t>
      </w:r>
      <w:r w:rsidRPr="00F4117E">
        <w:t xml:space="preserve"> исключить из полномочий Совета МО ГО "Сыктывкар" по управлению и распоряжению муниципальной собственностью принятие решений о передаче в залог муниципального имущества, составляющего казну МО ГО "Сыктывкар".</w:t>
      </w:r>
    </w:p>
    <w:p w:rsidR="00F4117E" w:rsidRPr="00F4117E" w:rsidRDefault="00F4117E" w:rsidP="00F4117E">
      <w:pPr>
        <w:autoSpaceDE w:val="0"/>
        <w:autoSpaceDN w:val="0"/>
        <w:adjustRightInd w:val="0"/>
        <w:ind w:firstLine="567"/>
        <w:jc w:val="both"/>
      </w:pPr>
      <w:r w:rsidRPr="00F4117E">
        <w:t>Указанные полномочия предлага</w:t>
      </w:r>
      <w:r w:rsidR="007F60C5">
        <w:t>лось</w:t>
      </w:r>
      <w:r w:rsidRPr="00F4117E">
        <w:t xml:space="preserve"> закрепить за Администрацией МО ГО "Сыктывкар" и Администрацией Эжвинского района МО ГО "Сыктывкар".</w:t>
      </w:r>
    </w:p>
    <w:p w:rsidR="00664937" w:rsidRPr="008678A2" w:rsidRDefault="008678A2" w:rsidP="00664937">
      <w:pPr>
        <w:autoSpaceDE w:val="0"/>
        <w:autoSpaceDN w:val="0"/>
        <w:adjustRightInd w:val="0"/>
        <w:ind w:firstLine="567"/>
        <w:jc w:val="both"/>
      </w:pPr>
      <w:r w:rsidRPr="00DA6461">
        <w:t>В заключени</w:t>
      </w:r>
      <w:proofErr w:type="gramStart"/>
      <w:r w:rsidR="007D585A">
        <w:t>и</w:t>
      </w:r>
      <w:proofErr w:type="gramEnd"/>
      <w:r w:rsidRPr="00DA6461">
        <w:t xml:space="preserve"> Контрольно-счетной палаты указано, что</w:t>
      </w:r>
      <w:r w:rsidRPr="008678A2">
        <w:t xml:space="preserve"> </w:t>
      </w:r>
      <w:r>
        <w:t>результатом п</w:t>
      </w:r>
      <w:r w:rsidRPr="008678A2">
        <w:t>ередач</w:t>
      </w:r>
      <w:r>
        <w:t>и</w:t>
      </w:r>
      <w:r w:rsidRPr="008678A2">
        <w:t xml:space="preserve"> муниципального имущества в залог кредитным организациям может </w:t>
      </w:r>
      <w:r>
        <w:t>быть</w:t>
      </w:r>
      <w:r w:rsidRPr="008678A2">
        <w:t xml:space="preserve"> его отчуждение</w:t>
      </w:r>
      <w:r w:rsidR="00AD7EF8">
        <w:t>, а</w:t>
      </w:r>
      <w:r w:rsidRPr="008678A2">
        <w:t xml:space="preserve"> </w:t>
      </w:r>
      <w:r w:rsidRPr="008678A2">
        <w:t>принятие решений об отчуждении объектов муниципальной собственности относится к полномочиям Совета МО ГО "Сыктывкар".</w:t>
      </w:r>
    </w:p>
    <w:p w:rsidR="008678A2" w:rsidRPr="008678A2" w:rsidRDefault="00AD7EF8" w:rsidP="008678A2">
      <w:pPr>
        <w:autoSpaceDE w:val="0"/>
        <w:autoSpaceDN w:val="0"/>
        <w:adjustRightInd w:val="0"/>
        <w:ind w:firstLine="567"/>
        <w:jc w:val="both"/>
      </w:pPr>
      <w:r>
        <w:t>Таким образом, п</w:t>
      </w:r>
      <w:r w:rsidR="008678A2" w:rsidRPr="008678A2">
        <w:t xml:space="preserve">ринятие Проекта решения приведет к отсутствию контроля со стороны Совета МО ГО "Сыктывкар" за сделками по передаче в залог муниципального </w:t>
      </w:r>
      <w:r w:rsidR="008678A2" w:rsidRPr="008678A2">
        <w:lastRenderedPageBreak/>
        <w:t>имущества, результатом которых может быть отчуждение объектов муниципальной собственности при отсутствии согласия Совета МО ГО "Сыктывкар".</w:t>
      </w:r>
    </w:p>
    <w:p w:rsidR="00664937" w:rsidRPr="00773609" w:rsidRDefault="00664937" w:rsidP="00664937">
      <w:pPr>
        <w:autoSpaceDE w:val="0"/>
        <w:autoSpaceDN w:val="0"/>
        <w:adjustRightInd w:val="0"/>
        <w:ind w:firstLine="567"/>
        <w:jc w:val="both"/>
      </w:pPr>
      <w:r w:rsidRPr="00773609">
        <w:t>Проект решения</w:t>
      </w:r>
      <w:r w:rsidR="000A228D">
        <w:t>,</w:t>
      </w:r>
      <w:r w:rsidRPr="00773609">
        <w:t xml:space="preserve"> </w:t>
      </w:r>
      <w:r w:rsidR="000A228D">
        <w:t>направленный в адрес</w:t>
      </w:r>
      <w:r w:rsidRPr="00773609">
        <w:t xml:space="preserve"> Совета МО ГО "Сыктывкар"</w:t>
      </w:r>
      <w:r w:rsidR="000A228D">
        <w:t>, отозван</w:t>
      </w:r>
      <w:r w:rsidR="00B6051C">
        <w:t xml:space="preserve"> Администрацией МО ГО "Сыктывкар"</w:t>
      </w:r>
      <w:r w:rsidRPr="00773609">
        <w:t>.</w:t>
      </w:r>
    </w:p>
    <w:p w:rsidR="00BA20E5" w:rsidRDefault="00BA20E5" w:rsidP="00BA20E5">
      <w:pPr>
        <w:jc w:val="both"/>
        <w:rPr>
          <w:b/>
        </w:rPr>
      </w:pPr>
    </w:p>
    <w:p w:rsidR="00BA20E5" w:rsidRPr="00BA20E5" w:rsidRDefault="00BA20E5" w:rsidP="00BA20E5">
      <w:pPr>
        <w:ind w:firstLine="567"/>
        <w:jc w:val="both"/>
        <w:rPr>
          <w:b/>
        </w:rPr>
      </w:pPr>
      <w:r w:rsidRPr="00BA20E5">
        <w:rPr>
          <w:b/>
        </w:rPr>
        <w:t>"Об утверждении перечня имущества, предлагаемого к передаче из государственной собственности Республики Коми в собственность муниципального образования городского округа "Сыктывкар"</w:t>
      </w:r>
    </w:p>
    <w:p w:rsidR="00BA20E5" w:rsidRPr="00BA20E5" w:rsidRDefault="00BA20E5" w:rsidP="00BA20E5">
      <w:pPr>
        <w:autoSpaceDE w:val="0"/>
        <w:autoSpaceDN w:val="0"/>
        <w:adjustRightInd w:val="0"/>
        <w:ind w:firstLine="567"/>
        <w:jc w:val="both"/>
      </w:pPr>
      <w:r w:rsidRPr="00BA20E5">
        <w:t>Проектом решения предлага</w:t>
      </w:r>
      <w:r>
        <w:t>лось</w:t>
      </w:r>
      <w:r w:rsidRPr="00BA20E5">
        <w:t xml:space="preserve"> утвердить перечень имущества, предлагаемого к передаче из государственной собственности Республики Коми в собственность МО ГО "Сыктывкар", включающий в себя акции в размере 100 процентов уставного капитала акционерного общества "</w:t>
      </w:r>
      <w:proofErr w:type="spellStart"/>
      <w:r w:rsidRPr="00BA20E5">
        <w:t>Комиавтотранс</w:t>
      </w:r>
      <w:proofErr w:type="spellEnd"/>
      <w:r w:rsidRPr="00BA20E5">
        <w:t>".</w:t>
      </w:r>
    </w:p>
    <w:p w:rsidR="00BA20E5" w:rsidRPr="00BA20E5" w:rsidRDefault="00BA20E5" w:rsidP="00BA20E5">
      <w:pPr>
        <w:autoSpaceDE w:val="0"/>
        <w:autoSpaceDN w:val="0"/>
        <w:adjustRightInd w:val="0"/>
        <w:ind w:firstLine="567"/>
        <w:jc w:val="both"/>
      </w:pPr>
      <w:r w:rsidRPr="00BA20E5">
        <w:t>Передача обусловлена реализацией вопросов местного значения, установленных статьей 16 Федерального закона от 06.10.2003 № 131-ФЗ "Об общих принципах организации местного самоуправления в Российской Федерации".</w:t>
      </w:r>
    </w:p>
    <w:p w:rsidR="00BA20E5" w:rsidRPr="00BA20E5" w:rsidRDefault="00BA20E5" w:rsidP="00BA20E5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16"/>
          <w:lang w:eastAsia="en-US"/>
        </w:rPr>
      </w:pPr>
      <w:r>
        <w:t xml:space="preserve">По мнению Контрольно-счетной палаты, </w:t>
      </w:r>
      <w:r>
        <w:t>в</w:t>
      </w:r>
      <w:r w:rsidRPr="00BA20E5">
        <w:t xml:space="preserve"> целях </w:t>
      </w:r>
      <w:r w:rsidRPr="00BA20E5">
        <w:rPr>
          <w:rFonts w:eastAsia="Calibri"/>
          <w:lang w:eastAsia="en-US"/>
        </w:rPr>
        <w:t>последующей организации деятельности</w:t>
      </w:r>
      <w:r w:rsidRPr="00BA20E5">
        <w:t xml:space="preserve"> Общества и оценки возможности </w:t>
      </w:r>
      <w:r w:rsidRPr="00BA20E5">
        <w:rPr>
          <w:rFonts w:eastAsia="Calibri"/>
          <w:lang w:eastAsia="en-US"/>
        </w:rPr>
        <w:t>автотранспортного обслуживания населения пассажирскими перевозками</w:t>
      </w:r>
      <w:r w:rsidRPr="00BA20E5">
        <w:t>, необходима информация о его текущей финансово-хозяйственной деятельности.</w:t>
      </w:r>
    </w:p>
    <w:p w:rsidR="00BA20E5" w:rsidRPr="00BA20E5" w:rsidRDefault="00BA20E5" w:rsidP="00BA20E5">
      <w:pPr>
        <w:autoSpaceDE w:val="0"/>
        <w:autoSpaceDN w:val="0"/>
        <w:adjustRightInd w:val="0"/>
        <w:ind w:firstLine="567"/>
        <w:jc w:val="both"/>
      </w:pPr>
      <w:r w:rsidRPr="00BA20E5">
        <w:t xml:space="preserve">Проект решения </w:t>
      </w:r>
      <w:r>
        <w:t xml:space="preserve">не включен в </w:t>
      </w:r>
      <w:r w:rsidRPr="00BA20E5">
        <w:t>повестк</w:t>
      </w:r>
      <w:r>
        <w:t>у</w:t>
      </w:r>
      <w:r w:rsidRPr="00BA20E5">
        <w:t xml:space="preserve"> заседания постоянных комиссий Совета города.</w:t>
      </w:r>
    </w:p>
    <w:p w:rsidR="00F4117E" w:rsidRPr="000041B7" w:rsidRDefault="00F4117E" w:rsidP="000C25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F4117E" w:rsidRPr="000041B7" w:rsidSect="00643DAC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E68D8"/>
    <w:multiLevelType w:val="hybridMultilevel"/>
    <w:tmpl w:val="CB7AC59E"/>
    <w:lvl w:ilvl="0" w:tplc="3348B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AD5418D"/>
    <w:multiLevelType w:val="hybridMultilevel"/>
    <w:tmpl w:val="67E42192"/>
    <w:lvl w:ilvl="0" w:tplc="2C16A8D4">
      <w:start w:val="8"/>
      <w:numFmt w:val="decimal"/>
      <w:lvlText w:val="%1."/>
      <w:lvlJc w:val="left"/>
      <w:pPr>
        <w:ind w:left="3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2">
    <w:nsid w:val="65C04709"/>
    <w:multiLevelType w:val="hybridMultilevel"/>
    <w:tmpl w:val="F1362AFC"/>
    <w:lvl w:ilvl="0" w:tplc="79BA4808">
      <w:start w:val="1"/>
      <w:numFmt w:val="bullet"/>
      <w:lvlText w:val=""/>
      <w:lvlJc w:val="left"/>
      <w:pPr>
        <w:tabs>
          <w:tab w:val="num" w:pos="1498"/>
        </w:tabs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AA"/>
    <w:rsid w:val="000041B7"/>
    <w:rsid w:val="00023E2C"/>
    <w:rsid w:val="00033ECB"/>
    <w:rsid w:val="00042425"/>
    <w:rsid w:val="00051685"/>
    <w:rsid w:val="00061D15"/>
    <w:rsid w:val="00061D9E"/>
    <w:rsid w:val="0006544A"/>
    <w:rsid w:val="000660DD"/>
    <w:rsid w:val="00066538"/>
    <w:rsid w:val="0007277B"/>
    <w:rsid w:val="000914EF"/>
    <w:rsid w:val="00095AF9"/>
    <w:rsid w:val="000A0C9A"/>
    <w:rsid w:val="000A228D"/>
    <w:rsid w:val="000A55E9"/>
    <w:rsid w:val="000A5CEF"/>
    <w:rsid w:val="000A6C0F"/>
    <w:rsid w:val="000C12CD"/>
    <w:rsid w:val="000C25EB"/>
    <w:rsid w:val="000C3611"/>
    <w:rsid w:val="000D4DA0"/>
    <w:rsid w:val="000D4EB6"/>
    <w:rsid w:val="000E2C04"/>
    <w:rsid w:val="00102255"/>
    <w:rsid w:val="0012284C"/>
    <w:rsid w:val="0012445A"/>
    <w:rsid w:val="0013022E"/>
    <w:rsid w:val="0013417C"/>
    <w:rsid w:val="00150AC1"/>
    <w:rsid w:val="00167C10"/>
    <w:rsid w:val="00170825"/>
    <w:rsid w:val="00175CCC"/>
    <w:rsid w:val="00182D8C"/>
    <w:rsid w:val="00186860"/>
    <w:rsid w:val="00190855"/>
    <w:rsid w:val="001B12ED"/>
    <w:rsid w:val="001C70EC"/>
    <w:rsid w:val="001E191E"/>
    <w:rsid w:val="001E3E37"/>
    <w:rsid w:val="001E5392"/>
    <w:rsid w:val="00220985"/>
    <w:rsid w:val="00233038"/>
    <w:rsid w:val="002548A2"/>
    <w:rsid w:val="00261213"/>
    <w:rsid w:val="002756A4"/>
    <w:rsid w:val="00281BD3"/>
    <w:rsid w:val="00284C5D"/>
    <w:rsid w:val="002A4CB7"/>
    <w:rsid w:val="002C1A93"/>
    <w:rsid w:val="002C6BB3"/>
    <w:rsid w:val="002D6F4C"/>
    <w:rsid w:val="002E537D"/>
    <w:rsid w:val="002F037A"/>
    <w:rsid w:val="002F0B8F"/>
    <w:rsid w:val="002F24C5"/>
    <w:rsid w:val="002F36D8"/>
    <w:rsid w:val="00301B20"/>
    <w:rsid w:val="00301C2F"/>
    <w:rsid w:val="0030708B"/>
    <w:rsid w:val="00333573"/>
    <w:rsid w:val="0034424E"/>
    <w:rsid w:val="003517CE"/>
    <w:rsid w:val="00366A2B"/>
    <w:rsid w:val="00366E88"/>
    <w:rsid w:val="0037708F"/>
    <w:rsid w:val="003A1CC0"/>
    <w:rsid w:val="003A3706"/>
    <w:rsid w:val="003B1324"/>
    <w:rsid w:val="003C2ED2"/>
    <w:rsid w:val="003C3299"/>
    <w:rsid w:val="003C66DE"/>
    <w:rsid w:val="003D2F6F"/>
    <w:rsid w:val="003D434D"/>
    <w:rsid w:val="0040050B"/>
    <w:rsid w:val="00403654"/>
    <w:rsid w:val="00423562"/>
    <w:rsid w:val="00427B8D"/>
    <w:rsid w:val="004311AE"/>
    <w:rsid w:val="004415E0"/>
    <w:rsid w:val="00442A0F"/>
    <w:rsid w:val="00443ECC"/>
    <w:rsid w:val="004801CC"/>
    <w:rsid w:val="00484592"/>
    <w:rsid w:val="00490AC7"/>
    <w:rsid w:val="004B126C"/>
    <w:rsid w:val="004B78A7"/>
    <w:rsid w:val="004C1EC4"/>
    <w:rsid w:val="004D3D01"/>
    <w:rsid w:val="005006E8"/>
    <w:rsid w:val="00504F5A"/>
    <w:rsid w:val="005058EB"/>
    <w:rsid w:val="005115E1"/>
    <w:rsid w:val="00536F13"/>
    <w:rsid w:val="00547C2E"/>
    <w:rsid w:val="0055454F"/>
    <w:rsid w:val="00555D47"/>
    <w:rsid w:val="005620C2"/>
    <w:rsid w:val="00562239"/>
    <w:rsid w:val="00565FD1"/>
    <w:rsid w:val="00566FBE"/>
    <w:rsid w:val="00584371"/>
    <w:rsid w:val="0059131A"/>
    <w:rsid w:val="00592EE1"/>
    <w:rsid w:val="005B7019"/>
    <w:rsid w:val="005D0DF5"/>
    <w:rsid w:val="005E2A91"/>
    <w:rsid w:val="005E3B15"/>
    <w:rsid w:val="005E506B"/>
    <w:rsid w:val="005F27BF"/>
    <w:rsid w:val="005F3FE0"/>
    <w:rsid w:val="005F667D"/>
    <w:rsid w:val="00602439"/>
    <w:rsid w:val="00603661"/>
    <w:rsid w:val="00607562"/>
    <w:rsid w:val="0062291E"/>
    <w:rsid w:val="006244BD"/>
    <w:rsid w:val="0063514B"/>
    <w:rsid w:val="006369DE"/>
    <w:rsid w:val="00640F55"/>
    <w:rsid w:val="00643106"/>
    <w:rsid w:val="00643DAC"/>
    <w:rsid w:val="00652010"/>
    <w:rsid w:val="00655305"/>
    <w:rsid w:val="00657A24"/>
    <w:rsid w:val="00661774"/>
    <w:rsid w:val="00664937"/>
    <w:rsid w:val="006672BD"/>
    <w:rsid w:val="00677508"/>
    <w:rsid w:val="00677F10"/>
    <w:rsid w:val="00680C2F"/>
    <w:rsid w:val="00684A26"/>
    <w:rsid w:val="00692016"/>
    <w:rsid w:val="00695ACC"/>
    <w:rsid w:val="00695F27"/>
    <w:rsid w:val="006A1734"/>
    <w:rsid w:val="006C048E"/>
    <w:rsid w:val="006C4459"/>
    <w:rsid w:val="006C614D"/>
    <w:rsid w:val="006D7694"/>
    <w:rsid w:val="006F5F05"/>
    <w:rsid w:val="006F7FE4"/>
    <w:rsid w:val="00700A32"/>
    <w:rsid w:val="00700DFA"/>
    <w:rsid w:val="00705F53"/>
    <w:rsid w:val="00723238"/>
    <w:rsid w:val="00733299"/>
    <w:rsid w:val="007449BC"/>
    <w:rsid w:val="00773609"/>
    <w:rsid w:val="007818F0"/>
    <w:rsid w:val="00792738"/>
    <w:rsid w:val="007A4D8B"/>
    <w:rsid w:val="007C397E"/>
    <w:rsid w:val="007D14DD"/>
    <w:rsid w:val="007D585A"/>
    <w:rsid w:val="007E65B6"/>
    <w:rsid w:val="007F1F27"/>
    <w:rsid w:val="007F60C5"/>
    <w:rsid w:val="007F631D"/>
    <w:rsid w:val="00803DFC"/>
    <w:rsid w:val="00806B56"/>
    <w:rsid w:val="00813E84"/>
    <w:rsid w:val="00817181"/>
    <w:rsid w:val="00822D5D"/>
    <w:rsid w:val="00823F67"/>
    <w:rsid w:val="0082512A"/>
    <w:rsid w:val="00832728"/>
    <w:rsid w:val="00833043"/>
    <w:rsid w:val="00841577"/>
    <w:rsid w:val="008512BD"/>
    <w:rsid w:val="008550A0"/>
    <w:rsid w:val="00857669"/>
    <w:rsid w:val="00860C13"/>
    <w:rsid w:val="008678A2"/>
    <w:rsid w:val="008737E2"/>
    <w:rsid w:val="008821F4"/>
    <w:rsid w:val="00894A96"/>
    <w:rsid w:val="008A0C17"/>
    <w:rsid w:val="008A3FA8"/>
    <w:rsid w:val="008B0D83"/>
    <w:rsid w:val="008B1930"/>
    <w:rsid w:val="008B322D"/>
    <w:rsid w:val="008C1903"/>
    <w:rsid w:val="008D0B8A"/>
    <w:rsid w:val="008E3FB1"/>
    <w:rsid w:val="009012FF"/>
    <w:rsid w:val="00913B98"/>
    <w:rsid w:val="00914060"/>
    <w:rsid w:val="00916F41"/>
    <w:rsid w:val="009314E8"/>
    <w:rsid w:val="00931BBA"/>
    <w:rsid w:val="00932B4B"/>
    <w:rsid w:val="009357BC"/>
    <w:rsid w:val="00936241"/>
    <w:rsid w:val="009426A4"/>
    <w:rsid w:val="00943136"/>
    <w:rsid w:val="009503E2"/>
    <w:rsid w:val="009677B8"/>
    <w:rsid w:val="00970809"/>
    <w:rsid w:val="009774C2"/>
    <w:rsid w:val="00991C50"/>
    <w:rsid w:val="00992C21"/>
    <w:rsid w:val="009A254D"/>
    <w:rsid w:val="009B345E"/>
    <w:rsid w:val="009D00DA"/>
    <w:rsid w:val="009D0A6E"/>
    <w:rsid w:val="009D7B23"/>
    <w:rsid w:val="009E34AF"/>
    <w:rsid w:val="009E79A4"/>
    <w:rsid w:val="009E7BC0"/>
    <w:rsid w:val="009F1DB7"/>
    <w:rsid w:val="009F1E8B"/>
    <w:rsid w:val="009F26F9"/>
    <w:rsid w:val="009F698D"/>
    <w:rsid w:val="00A0663A"/>
    <w:rsid w:val="00A42F58"/>
    <w:rsid w:val="00A456BB"/>
    <w:rsid w:val="00A46D96"/>
    <w:rsid w:val="00A677AA"/>
    <w:rsid w:val="00A76D1C"/>
    <w:rsid w:val="00A77C7F"/>
    <w:rsid w:val="00A85E53"/>
    <w:rsid w:val="00A90408"/>
    <w:rsid w:val="00AA1816"/>
    <w:rsid w:val="00AA39CD"/>
    <w:rsid w:val="00AA5AF1"/>
    <w:rsid w:val="00AC0427"/>
    <w:rsid w:val="00AC1A68"/>
    <w:rsid w:val="00AD184A"/>
    <w:rsid w:val="00AD2057"/>
    <w:rsid w:val="00AD7EF8"/>
    <w:rsid w:val="00AE1DFA"/>
    <w:rsid w:val="00AE2A80"/>
    <w:rsid w:val="00AF1581"/>
    <w:rsid w:val="00AF76AB"/>
    <w:rsid w:val="00B03628"/>
    <w:rsid w:val="00B06A9F"/>
    <w:rsid w:val="00B11B41"/>
    <w:rsid w:val="00B15035"/>
    <w:rsid w:val="00B22605"/>
    <w:rsid w:val="00B231DE"/>
    <w:rsid w:val="00B30907"/>
    <w:rsid w:val="00B56774"/>
    <w:rsid w:val="00B6051C"/>
    <w:rsid w:val="00B62A8C"/>
    <w:rsid w:val="00B64FAC"/>
    <w:rsid w:val="00B90A8D"/>
    <w:rsid w:val="00B93F4D"/>
    <w:rsid w:val="00B97CEE"/>
    <w:rsid w:val="00BA20E5"/>
    <w:rsid w:val="00BA27A5"/>
    <w:rsid w:val="00BB7071"/>
    <w:rsid w:val="00BC1472"/>
    <w:rsid w:val="00BC533F"/>
    <w:rsid w:val="00BC661F"/>
    <w:rsid w:val="00BD02E2"/>
    <w:rsid w:val="00BE571E"/>
    <w:rsid w:val="00C0542C"/>
    <w:rsid w:val="00C15730"/>
    <w:rsid w:val="00C16B11"/>
    <w:rsid w:val="00C305CE"/>
    <w:rsid w:val="00C321D9"/>
    <w:rsid w:val="00C33051"/>
    <w:rsid w:val="00C33997"/>
    <w:rsid w:val="00C404D0"/>
    <w:rsid w:val="00C451CF"/>
    <w:rsid w:val="00C46850"/>
    <w:rsid w:val="00C50A7B"/>
    <w:rsid w:val="00C52BD9"/>
    <w:rsid w:val="00C537EB"/>
    <w:rsid w:val="00C556D9"/>
    <w:rsid w:val="00C64C1C"/>
    <w:rsid w:val="00C77A05"/>
    <w:rsid w:val="00C8272F"/>
    <w:rsid w:val="00CA1DEF"/>
    <w:rsid w:val="00CA403F"/>
    <w:rsid w:val="00CA5C1D"/>
    <w:rsid w:val="00CB6505"/>
    <w:rsid w:val="00CD4C72"/>
    <w:rsid w:val="00CD7A69"/>
    <w:rsid w:val="00CF381A"/>
    <w:rsid w:val="00D03CA0"/>
    <w:rsid w:val="00D070B1"/>
    <w:rsid w:val="00D2574B"/>
    <w:rsid w:val="00D30E66"/>
    <w:rsid w:val="00D31C0E"/>
    <w:rsid w:val="00D46D53"/>
    <w:rsid w:val="00D550F5"/>
    <w:rsid w:val="00D55FB0"/>
    <w:rsid w:val="00D65360"/>
    <w:rsid w:val="00D67C6B"/>
    <w:rsid w:val="00D703F7"/>
    <w:rsid w:val="00D75EF8"/>
    <w:rsid w:val="00D77046"/>
    <w:rsid w:val="00D914D2"/>
    <w:rsid w:val="00D9348E"/>
    <w:rsid w:val="00D966E0"/>
    <w:rsid w:val="00DA62FC"/>
    <w:rsid w:val="00DA6461"/>
    <w:rsid w:val="00DA6FAA"/>
    <w:rsid w:val="00DA79D3"/>
    <w:rsid w:val="00DB0009"/>
    <w:rsid w:val="00DC37FE"/>
    <w:rsid w:val="00DC467E"/>
    <w:rsid w:val="00DD38A2"/>
    <w:rsid w:val="00DD6473"/>
    <w:rsid w:val="00DE3D37"/>
    <w:rsid w:val="00DF4E2B"/>
    <w:rsid w:val="00E0063D"/>
    <w:rsid w:val="00E10246"/>
    <w:rsid w:val="00E20939"/>
    <w:rsid w:val="00E24310"/>
    <w:rsid w:val="00E27D7B"/>
    <w:rsid w:val="00E461AA"/>
    <w:rsid w:val="00E62111"/>
    <w:rsid w:val="00E75D0F"/>
    <w:rsid w:val="00E772FC"/>
    <w:rsid w:val="00E7747E"/>
    <w:rsid w:val="00E865BD"/>
    <w:rsid w:val="00E90296"/>
    <w:rsid w:val="00EA44FC"/>
    <w:rsid w:val="00EB0EE8"/>
    <w:rsid w:val="00EB160A"/>
    <w:rsid w:val="00EC1C6C"/>
    <w:rsid w:val="00EE6820"/>
    <w:rsid w:val="00F071BD"/>
    <w:rsid w:val="00F13663"/>
    <w:rsid w:val="00F15343"/>
    <w:rsid w:val="00F1657F"/>
    <w:rsid w:val="00F16D4C"/>
    <w:rsid w:val="00F173CC"/>
    <w:rsid w:val="00F212FA"/>
    <w:rsid w:val="00F32C2B"/>
    <w:rsid w:val="00F33CF1"/>
    <w:rsid w:val="00F4076B"/>
    <w:rsid w:val="00F4117E"/>
    <w:rsid w:val="00F5373F"/>
    <w:rsid w:val="00F55249"/>
    <w:rsid w:val="00F63EEE"/>
    <w:rsid w:val="00F646E2"/>
    <w:rsid w:val="00F64A32"/>
    <w:rsid w:val="00F727F3"/>
    <w:rsid w:val="00F738C6"/>
    <w:rsid w:val="00F75DFE"/>
    <w:rsid w:val="00F83E2B"/>
    <w:rsid w:val="00F86923"/>
    <w:rsid w:val="00F9457E"/>
    <w:rsid w:val="00FA1264"/>
    <w:rsid w:val="00FA4660"/>
    <w:rsid w:val="00FA4D34"/>
    <w:rsid w:val="00FB1CF2"/>
    <w:rsid w:val="00FC3F7A"/>
    <w:rsid w:val="00FD005C"/>
    <w:rsid w:val="00FD1254"/>
    <w:rsid w:val="00FD310D"/>
    <w:rsid w:val="00FD3C0A"/>
    <w:rsid w:val="00FD617F"/>
    <w:rsid w:val="00FF1E02"/>
    <w:rsid w:val="00FF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61A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55305"/>
    <w:pPr>
      <w:keepNext/>
      <w:keepLines/>
      <w:spacing w:line="320" w:lineRule="exact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"/>
    <w:basedOn w:val="a"/>
    <w:rsid w:val="00E1024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3">
    <w:name w:val="header"/>
    <w:basedOn w:val="a"/>
    <w:link w:val="a4"/>
    <w:rsid w:val="004B78A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locked/>
    <w:rsid w:val="004B78A7"/>
    <w:rPr>
      <w:lang w:val="ru-RU" w:eastAsia="ru-RU" w:bidi="ar-SA"/>
    </w:rPr>
  </w:style>
  <w:style w:type="table" w:styleId="a5">
    <w:name w:val="Table Grid"/>
    <w:basedOn w:val="a1"/>
    <w:rsid w:val="00C64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55305"/>
    <w:rPr>
      <w:b/>
      <w:bCs/>
      <w:sz w:val="28"/>
    </w:rPr>
  </w:style>
  <w:style w:type="paragraph" w:customStyle="1" w:styleId="21">
    <w:name w:val="Знак Знак2"/>
    <w:basedOn w:val="a"/>
    <w:rsid w:val="008A0C17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2">
    <w:name w:val="Знак Знак2"/>
    <w:basedOn w:val="a"/>
    <w:rsid w:val="001C70E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List Paragraph"/>
    <w:basedOn w:val="a"/>
    <w:uiPriority w:val="34"/>
    <w:qFormat/>
    <w:rsid w:val="009F1DB7"/>
    <w:pPr>
      <w:ind w:left="720"/>
      <w:contextualSpacing/>
    </w:pPr>
  </w:style>
  <w:style w:type="paragraph" w:customStyle="1" w:styleId="23">
    <w:name w:val="Знак Знак2"/>
    <w:basedOn w:val="a"/>
    <w:rsid w:val="0059131A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4">
    <w:name w:val="Знак Знак2"/>
    <w:basedOn w:val="a"/>
    <w:rsid w:val="00F33CF1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5">
    <w:name w:val="Знак Знак2"/>
    <w:basedOn w:val="a"/>
    <w:rsid w:val="007818F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6">
    <w:name w:val="Знак Знак2"/>
    <w:basedOn w:val="a"/>
    <w:rsid w:val="00EB0EE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HeadDoc">
    <w:name w:val="HeadDoc"/>
    <w:rsid w:val="00EB0EE8"/>
    <w:pPr>
      <w:keepLines/>
      <w:jc w:val="both"/>
    </w:pPr>
    <w:rPr>
      <w:sz w:val="28"/>
    </w:rPr>
  </w:style>
  <w:style w:type="paragraph" w:styleId="a7">
    <w:name w:val="Balloon Text"/>
    <w:basedOn w:val="a"/>
    <w:link w:val="a8"/>
    <w:rsid w:val="00EB0E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B0EE8"/>
    <w:rPr>
      <w:rFonts w:ascii="Tahoma" w:hAnsi="Tahoma" w:cs="Tahoma"/>
      <w:sz w:val="16"/>
      <w:szCs w:val="16"/>
    </w:rPr>
  </w:style>
  <w:style w:type="paragraph" w:customStyle="1" w:styleId="27">
    <w:name w:val="Знак Знак2"/>
    <w:basedOn w:val="a"/>
    <w:rsid w:val="00F83E2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8">
    <w:name w:val="Знак Знак2"/>
    <w:basedOn w:val="a"/>
    <w:rsid w:val="00B93F4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9">
    <w:name w:val="Знак Знак2"/>
    <w:basedOn w:val="a"/>
    <w:rsid w:val="000C25E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a">
    <w:name w:val=" Знак Знак2"/>
    <w:basedOn w:val="a"/>
    <w:rsid w:val="0023303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61A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55305"/>
    <w:pPr>
      <w:keepNext/>
      <w:keepLines/>
      <w:spacing w:line="320" w:lineRule="exact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"/>
    <w:basedOn w:val="a"/>
    <w:rsid w:val="00E1024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3">
    <w:name w:val="header"/>
    <w:basedOn w:val="a"/>
    <w:link w:val="a4"/>
    <w:rsid w:val="004B78A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locked/>
    <w:rsid w:val="004B78A7"/>
    <w:rPr>
      <w:lang w:val="ru-RU" w:eastAsia="ru-RU" w:bidi="ar-SA"/>
    </w:rPr>
  </w:style>
  <w:style w:type="table" w:styleId="a5">
    <w:name w:val="Table Grid"/>
    <w:basedOn w:val="a1"/>
    <w:rsid w:val="00C64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55305"/>
    <w:rPr>
      <w:b/>
      <w:bCs/>
      <w:sz w:val="28"/>
    </w:rPr>
  </w:style>
  <w:style w:type="paragraph" w:customStyle="1" w:styleId="21">
    <w:name w:val="Знак Знак2"/>
    <w:basedOn w:val="a"/>
    <w:rsid w:val="008A0C17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2">
    <w:name w:val="Знак Знак2"/>
    <w:basedOn w:val="a"/>
    <w:rsid w:val="001C70E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List Paragraph"/>
    <w:basedOn w:val="a"/>
    <w:uiPriority w:val="34"/>
    <w:qFormat/>
    <w:rsid w:val="009F1DB7"/>
    <w:pPr>
      <w:ind w:left="720"/>
      <w:contextualSpacing/>
    </w:pPr>
  </w:style>
  <w:style w:type="paragraph" w:customStyle="1" w:styleId="23">
    <w:name w:val="Знак Знак2"/>
    <w:basedOn w:val="a"/>
    <w:rsid w:val="0059131A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4">
    <w:name w:val="Знак Знак2"/>
    <w:basedOn w:val="a"/>
    <w:rsid w:val="00F33CF1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5">
    <w:name w:val="Знак Знак2"/>
    <w:basedOn w:val="a"/>
    <w:rsid w:val="007818F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6">
    <w:name w:val="Знак Знак2"/>
    <w:basedOn w:val="a"/>
    <w:rsid w:val="00EB0EE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HeadDoc">
    <w:name w:val="HeadDoc"/>
    <w:rsid w:val="00EB0EE8"/>
    <w:pPr>
      <w:keepLines/>
      <w:jc w:val="both"/>
    </w:pPr>
    <w:rPr>
      <w:sz w:val="28"/>
    </w:rPr>
  </w:style>
  <w:style w:type="paragraph" w:styleId="a7">
    <w:name w:val="Balloon Text"/>
    <w:basedOn w:val="a"/>
    <w:link w:val="a8"/>
    <w:rsid w:val="00EB0E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B0EE8"/>
    <w:rPr>
      <w:rFonts w:ascii="Tahoma" w:hAnsi="Tahoma" w:cs="Tahoma"/>
      <w:sz w:val="16"/>
      <w:szCs w:val="16"/>
    </w:rPr>
  </w:style>
  <w:style w:type="paragraph" w:customStyle="1" w:styleId="27">
    <w:name w:val="Знак Знак2"/>
    <w:basedOn w:val="a"/>
    <w:rsid w:val="00F83E2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8">
    <w:name w:val="Знак Знак2"/>
    <w:basedOn w:val="a"/>
    <w:rsid w:val="00B93F4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9">
    <w:name w:val="Знак Знак2"/>
    <w:basedOn w:val="a"/>
    <w:rsid w:val="000C25E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a">
    <w:name w:val=" Знак Знак2"/>
    <w:basedOn w:val="a"/>
    <w:rsid w:val="0023303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1008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результатах проверки отчета об исполнении бюджета</vt:lpstr>
    </vt:vector>
  </TitlesOfParts>
  <Company/>
  <LinksUpToDate>false</LinksUpToDate>
  <CharactersWithSpaces>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результатах проверки отчета об исполнении бюджета</dc:title>
  <dc:creator>Марина Николаевна</dc:creator>
  <cp:keywords>Вакс; Совет</cp:keywords>
  <cp:lastModifiedBy>Безносикова Марина Николаевна</cp:lastModifiedBy>
  <cp:revision>2</cp:revision>
  <cp:lastPrinted>2022-09-20T13:00:00Z</cp:lastPrinted>
  <dcterms:created xsi:type="dcterms:W3CDTF">2022-09-20T13:19:00Z</dcterms:created>
  <dcterms:modified xsi:type="dcterms:W3CDTF">2022-09-20T13:19:00Z</dcterms:modified>
</cp:coreProperties>
</file>