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6E04EF" w:rsidRDefault="008C5B75" w:rsidP="006E04EF">
      <w:pPr>
        <w:ind w:firstLine="709"/>
        <w:jc w:val="center"/>
        <w:rPr>
          <w:sz w:val="28"/>
          <w:szCs w:val="28"/>
        </w:rPr>
      </w:pPr>
      <w:r w:rsidRPr="006E04EF">
        <w:rPr>
          <w:rFonts w:eastAsia="Calibri"/>
          <w:spacing w:val="-8"/>
          <w:sz w:val="28"/>
          <w:szCs w:val="28"/>
        </w:rPr>
        <w:t xml:space="preserve">О результатах </w:t>
      </w:r>
      <w:r w:rsidR="003E27F3">
        <w:rPr>
          <w:rFonts w:eastAsia="Calibri"/>
          <w:spacing w:val="-8"/>
          <w:sz w:val="28"/>
          <w:szCs w:val="28"/>
        </w:rPr>
        <w:t>экспертизы</w:t>
      </w:r>
      <w:r w:rsidR="006E04EF" w:rsidRPr="006E04EF">
        <w:rPr>
          <w:rFonts w:eastAsia="Calibri"/>
          <w:spacing w:val="-8"/>
          <w:sz w:val="28"/>
          <w:szCs w:val="28"/>
        </w:rPr>
        <w:t xml:space="preserve"> муниципальной программы МО ГО "Сыктывкар" "</w:t>
      </w:r>
      <w:r w:rsidR="004A4D9B">
        <w:rPr>
          <w:rFonts w:eastAsia="Calibri"/>
          <w:spacing w:val="-8"/>
          <w:sz w:val="28"/>
          <w:szCs w:val="28"/>
        </w:rPr>
        <w:t>Открытый муниципалитет</w:t>
      </w:r>
      <w:r w:rsidR="006E04EF" w:rsidRPr="006E04EF">
        <w:rPr>
          <w:rFonts w:eastAsia="Calibri"/>
          <w:spacing w:val="-8"/>
          <w:sz w:val="28"/>
          <w:szCs w:val="28"/>
        </w:rPr>
        <w:t>"</w:t>
      </w:r>
    </w:p>
    <w:p w:rsidR="00772843" w:rsidRDefault="00772843" w:rsidP="00BA6C52">
      <w:pPr>
        <w:spacing w:before="120"/>
        <w:ind w:firstLine="709"/>
        <w:jc w:val="both"/>
        <w:rPr>
          <w:rFonts w:eastAsia="Calibri"/>
          <w:spacing w:val="-8"/>
          <w:sz w:val="28"/>
          <w:szCs w:val="28"/>
        </w:rPr>
      </w:pPr>
      <w:r w:rsidRPr="006E04EF">
        <w:rPr>
          <w:sz w:val="28"/>
          <w:szCs w:val="28"/>
        </w:rPr>
        <w:t>В соответствии с планом работы на 20</w:t>
      </w:r>
      <w:r w:rsidR="003E27F3">
        <w:rPr>
          <w:sz w:val="28"/>
          <w:szCs w:val="28"/>
        </w:rPr>
        <w:t>2</w:t>
      </w:r>
      <w:r w:rsidR="004A4D9B">
        <w:rPr>
          <w:sz w:val="28"/>
          <w:szCs w:val="28"/>
        </w:rPr>
        <w:t>2</w:t>
      </w:r>
      <w:r w:rsidRPr="006E04EF">
        <w:rPr>
          <w:sz w:val="28"/>
          <w:szCs w:val="28"/>
        </w:rPr>
        <w:t xml:space="preserve"> год Контрольно-счетной палатой муниципального образования городского округа "Сыктывкар" проведена </w:t>
      </w:r>
      <w:r w:rsidR="003E27F3">
        <w:rPr>
          <w:sz w:val="28"/>
          <w:szCs w:val="28"/>
        </w:rPr>
        <w:t>экспертиза</w:t>
      </w:r>
      <w:r w:rsidR="006E04EF" w:rsidRPr="006E04EF">
        <w:rPr>
          <w:rFonts w:eastAsia="Calibri"/>
          <w:spacing w:val="-8"/>
          <w:sz w:val="28"/>
          <w:szCs w:val="28"/>
        </w:rPr>
        <w:t xml:space="preserve"> муниципальной программы МО ГО "Сыктывкар" </w:t>
      </w:r>
      <w:r w:rsidR="003E27F3">
        <w:rPr>
          <w:rFonts w:eastAsia="Calibri"/>
          <w:spacing w:val="-8"/>
          <w:sz w:val="28"/>
          <w:szCs w:val="28"/>
        </w:rPr>
        <w:t>"</w:t>
      </w:r>
      <w:r w:rsidR="004A4D9B">
        <w:rPr>
          <w:rFonts w:eastAsia="Calibri"/>
          <w:spacing w:val="-8"/>
          <w:sz w:val="28"/>
          <w:szCs w:val="28"/>
        </w:rPr>
        <w:t>Отрытый муниципалитет</w:t>
      </w:r>
      <w:r w:rsidR="006E04EF" w:rsidRPr="006E04EF">
        <w:rPr>
          <w:rFonts w:eastAsia="Calibri"/>
          <w:spacing w:val="-8"/>
          <w:sz w:val="28"/>
          <w:szCs w:val="28"/>
        </w:rPr>
        <w:t>"</w:t>
      </w:r>
      <w:r w:rsidR="00A337B4">
        <w:rPr>
          <w:rFonts w:eastAsia="Calibri"/>
          <w:spacing w:val="-8"/>
          <w:sz w:val="28"/>
          <w:szCs w:val="28"/>
        </w:rPr>
        <w:t xml:space="preserve"> (далее – Программа)</w:t>
      </w:r>
      <w:r w:rsidR="004739D9" w:rsidRPr="006E04EF">
        <w:rPr>
          <w:rFonts w:eastAsia="Calibri"/>
          <w:spacing w:val="-8"/>
          <w:sz w:val="28"/>
          <w:szCs w:val="28"/>
        </w:rPr>
        <w:t>.</w:t>
      </w:r>
    </w:p>
    <w:p w:rsidR="00611C42" w:rsidRDefault="00611C42" w:rsidP="00774291">
      <w:pPr>
        <w:spacing w:before="120" w:line="233" w:lineRule="auto"/>
        <w:ind w:firstLine="709"/>
        <w:jc w:val="both"/>
        <w:rPr>
          <w:rFonts w:eastAsia="Calibri"/>
          <w:spacing w:val="-8"/>
          <w:sz w:val="28"/>
          <w:szCs w:val="28"/>
        </w:rPr>
      </w:pPr>
      <w:r>
        <w:rPr>
          <w:rFonts w:eastAsia="Calibri"/>
          <w:spacing w:val="-8"/>
          <w:sz w:val="28"/>
          <w:szCs w:val="28"/>
        </w:rPr>
        <w:t>По итогам проведенной экспертизы подготовлено заключение, в котором отражены замечания, даны соответствующие рекомендации.</w:t>
      </w:r>
    </w:p>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5"/>
      </w:tblGrid>
      <w:tr w:rsidR="001B28F1" w:rsidRPr="00C70564" w:rsidTr="0023281E">
        <w:trPr>
          <w:trHeight w:val="1562"/>
        </w:trPr>
        <w:tc>
          <w:tcPr>
            <w:tcW w:w="9815" w:type="dxa"/>
            <w:tcBorders>
              <w:top w:val="nil"/>
              <w:left w:val="nil"/>
              <w:bottom w:val="nil"/>
              <w:right w:val="nil"/>
            </w:tcBorders>
            <w:shd w:val="clear" w:color="auto" w:fill="auto"/>
          </w:tcPr>
          <w:p w:rsidR="004A4D9B" w:rsidRPr="00C70564" w:rsidRDefault="004A4D9B" w:rsidP="00CD5BCD">
            <w:pPr>
              <w:spacing w:line="233" w:lineRule="auto"/>
              <w:ind w:firstLine="709"/>
              <w:jc w:val="both"/>
              <w:rPr>
                <w:sz w:val="28"/>
                <w:szCs w:val="28"/>
              </w:rPr>
            </w:pPr>
            <w:r w:rsidRPr="00C70564">
              <w:rPr>
                <w:sz w:val="28"/>
                <w:szCs w:val="28"/>
              </w:rPr>
              <w:t>Реализация Программы осуществляется исключительно за счет средств бюджета МО ГО "Сыктывкар".</w:t>
            </w:r>
          </w:p>
          <w:p w:rsidR="00FD3664" w:rsidRPr="00C70564" w:rsidRDefault="004A4D9B" w:rsidP="004A4D9B">
            <w:pPr>
              <w:spacing w:line="233" w:lineRule="auto"/>
              <w:ind w:firstLine="709"/>
              <w:jc w:val="both"/>
              <w:rPr>
                <w:rFonts w:eastAsia="Calibri"/>
                <w:spacing w:val="-8"/>
                <w:sz w:val="28"/>
                <w:szCs w:val="28"/>
              </w:rPr>
            </w:pPr>
            <w:r w:rsidRPr="00C70564">
              <w:rPr>
                <w:sz w:val="28"/>
                <w:szCs w:val="28"/>
              </w:rPr>
              <w:t xml:space="preserve">Наибольший удельный вес всех расходов Программы 98,9 процентов приходится на муниципальные учреждения, подведомственные </w:t>
            </w:r>
            <w:r w:rsidR="005E7A19" w:rsidRPr="00C70564">
              <w:rPr>
                <w:sz w:val="28"/>
                <w:szCs w:val="28"/>
              </w:rPr>
              <w:t>Администрации МО ГО "Сыктывкар" (далее – Администрация)</w:t>
            </w:r>
            <w:r w:rsidR="005E7A19" w:rsidRPr="00C70564">
              <w:t xml:space="preserve"> </w:t>
            </w:r>
            <w:r w:rsidRPr="00C70564">
              <w:rPr>
                <w:sz w:val="28"/>
                <w:szCs w:val="28"/>
              </w:rPr>
              <w:t>–</w:t>
            </w:r>
            <w:r w:rsidR="005E7A19" w:rsidRPr="00C70564">
              <w:rPr>
                <w:sz w:val="28"/>
                <w:szCs w:val="28"/>
              </w:rPr>
              <w:t xml:space="preserve"> </w:t>
            </w:r>
            <w:r w:rsidRPr="00C70564">
              <w:rPr>
                <w:sz w:val="28"/>
                <w:szCs w:val="28"/>
              </w:rPr>
              <w:t>МАУ "С</w:t>
            </w:r>
            <w:r w:rsidR="0046009F">
              <w:rPr>
                <w:sz w:val="28"/>
                <w:szCs w:val="28"/>
              </w:rPr>
              <w:t>ыктывкарский</w:t>
            </w:r>
            <w:r w:rsidR="00DB7BF0">
              <w:rPr>
                <w:sz w:val="28"/>
                <w:szCs w:val="28"/>
              </w:rPr>
              <w:t xml:space="preserve"> информационно-издательский центр</w:t>
            </w:r>
            <w:r w:rsidRPr="00C70564">
              <w:rPr>
                <w:sz w:val="28"/>
                <w:szCs w:val="28"/>
              </w:rPr>
              <w:t xml:space="preserve"> "Панорама столицы", МБУ "Городской информационно-коммуникационный центр", МБУ "Муниципальный архив г. Сыктывкара"</w:t>
            </w:r>
            <w:r w:rsidR="005E7A19" w:rsidRPr="00C70564">
              <w:rPr>
                <w:sz w:val="28"/>
                <w:szCs w:val="28"/>
              </w:rPr>
              <w:t>;</w:t>
            </w:r>
            <w:r w:rsidRPr="00C70564">
              <w:rPr>
                <w:sz w:val="28"/>
                <w:szCs w:val="28"/>
              </w:rPr>
              <w:t xml:space="preserve"> из них на обеспечение деятельности – 78,1 процента. </w:t>
            </w:r>
          </w:p>
          <w:p w:rsidR="004A4D9B" w:rsidRPr="00C70564" w:rsidRDefault="004A4D9B" w:rsidP="00984039">
            <w:pPr>
              <w:keepNext/>
              <w:widowControl/>
              <w:tabs>
                <w:tab w:val="left" w:pos="635"/>
              </w:tabs>
              <w:autoSpaceDE/>
              <w:autoSpaceDN/>
              <w:adjustRightInd/>
              <w:spacing w:before="60"/>
              <w:ind w:right="-91" w:firstLine="635"/>
              <w:jc w:val="both"/>
              <w:rPr>
                <w:sz w:val="28"/>
                <w:szCs w:val="28"/>
              </w:rPr>
            </w:pPr>
            <w:r w:rsidRPr="00C70564">
              <w:rPr>
                <w:sz w:val="28"/>
                <w:szCs w:val="28"/>
              </w:rPr>
              <w:t>Паспортами подпрограмм, перечнями мероприятий и планами реализации на 2021-2022 гг. не предусмотрен установленный Программой соисполнитель – Отдел по специальной работе администрации МО ГО "Сыктывкар".</w:t>
            </w:r>
          </w:p>
          <w:p w:rsidR="004A4D9B" w:rsidRPr="00DB7BF0" w:rsidRDefault="004A4D9B" w:rsidP="00984039">
            <w:pPr>
              <w:keepNext/>
              <w:widowControl/>
              <w:tabs>
                <w:tab w:val="left" w:pos="459"/>
              </w:tabs>
              <w:autoSpaceDE/>
              <w:autoSpaceDN/>
              <w:adjustRightInd/>
              <w:spacing w:before="60"/>
              <w:ind w:right="-91" w:firstLine="635"/>
              <w:jc w:val="both"/>
              <w:rPr>
                <w:sz w:val="28"/>
                <w:szCs w:val="28"/>
              </w:rPr>
            </w:pPr>
            <w:r w:rsidRPr="00C70564">
              <w:rPr>
                <w:sz w:val="28"/>
                <w:szCs w:val="28"/>
              </w:rPr>
              <w:t xml:space="preserve">Для оценки эффективности реализации в Программе перечислен 21 </w:t>
            </w:r>
            <w:r w:rsidR="00DB7BF0">
              <w:rPr>
                <w:sz w:val="28"/>
                <w:szCs w:val="28"/>
              </w:rPr>
              <w:t xml:space="preserve">целевой показатель (индикатор), в том числе два </w:t>
            </w:r>
            <w:r w:rsidR="00DB7BF0" w:rsidRPr="00DB7BF0">
              <w:rPr>
                <w:sz w:val="28"/>
                <w:szCs w:val="28"/>
              </w:rPr>
              <w:t>целевых показателя содержат по два количественных значения</w:t>
            </w:r>
            <w:r w:rsidR="00DB7BF0">
              <w:rPr>
                <w:sz w:val="28"/>
                <w:szCs w:val="28"/>
              </w:rPr>
              <w:t xml:space="preserve">. </w:t>
            </w:r>
            <w:r w:rsidR="00094986">
              <w:rPr>
                <w:sz w:val="28"/>
                <w:szCs w:val="28"/>
              </w:rPr>
              <w:t>То есть,</w:t>
            </w:r>
            <w:r w:rsidR="00DB7BF0">
              <w:rPr>
                <w:sz w:val="28"/>
                <w:szCs w:val="28"/>
              </w:rPr>
              <w:t xml:space="preserve"> </w:t>
            </w:r>
            <w:r w:rsidRPr="00C70564">
              <w:rPr>
                <w:sz w:val="28"/>
                <w:szCs w:val="28"/>
              </w:rPr>
              <w:t xml:space="preserve">фактически </w:t>
            </w:r>
            <w:r w:rsidR="00DB7BF0">
              <w:rPr>
                <w:sz w:val="28"/>
                <w:szCs w:val="28"/>
              </w:rPr>
              <w:t xml:space="preserve">Программа </w:t>
            </w:r>
            <w:r w:rsidRPr="00C70564">
              <w:rPr>
                <w:sz w:val="28"/>
                <w:szCs w:val="28"/>
              </w:rPr>
              <w:t>содержит 23 целевых показателя (индикатора).</w:t>
            </w:r>
            <w:r w:rsidR="00DB7BF0">
              <w:rPr>
                <w:sz w:val="28"/>
                <w:szCs w:val="28"/>
              </w:rPr>
              <w:t xml:space="preserve"> </w:t>
            </w:r>
          </w:p>
          <w:p w:rsidR="004A4D9B" w:rsidRPr="00C70564" w:rsidRDefault="004A4D9B" w:rsidP="00984039">
            <w:pPr>
              <w:widowControl/>
              <w:tabs>
                <w:tab w:val="left" w:pos="459"/>
              </w:tabs>
              <w:autoSpaceDE/>
              <w:autoSpaceDN/>
              <w:adjustRightInd/>
              <w:ind w:right="-91" w:firstLine="635"/>
              <w:jc w:val="both"/>
              <w:rPr>
                <w:sz w:val="28"/>
                <w:szCs w:val="28"/>
              </w:rPr>
            </w:pPr>
            <w:r w:rsidRPr="00C70564">
              <w:rPr>
                <w:sz w:val="28"/>
                <w:szCs w:val="28"/>
              </w:rPr>
              <w:t xml:space="preserve">На момент проведения экспертизы отсутствует методика расчета целевых показателей (индикаторов) муниципальной программы, предусмотренная </w:t>
            </w:r>
            <w:r w:rsidR="00DB7BF0">
              <w:rPr>
                <w:sz w:val="28"/>
                <w:szCs w:val="28"/>
              </w:rPr>
              <w:t>"</w:t>
            </w:r>
            <w:r w:rsidRPr="00C70564">
              <w:rPr>
                <w:sz w:val="28"/>
                <w:szCs w:val="28"/>
              </w:rPr>
              <w:t>Методически</w:t>
            </w:r>
            <w:r w:rsidR="00DB7BF0">
              <w:rPr>
                <w:sz w:val="28"/>
                <w:szCs w:val="28"/>
              </w:rPr>
              <w:t>ми</w:t>
            </w:r>
            <w:r w:rsidRPr="00C70564">
              <w:rPr>
                <w:sz w:val="28"/>
                <w:szCs w:val="28"/>
              </w:rPr>
              <w:t xml:space="preserve"> указани</w:t>
            </w:r>
            <w:r w:rsidR="00DB7BF0">
              <w:rPr>
                <w:sz w:val="28"/>
                <w:szCs w:val="28"/>
              </w:rPr>
              <w:t>ями</w:t>
            </w:r>
            <w:r w:rsidR="00CD5BCD" w:rsidRPr="00C70564">
              <w:rPr>
                <w:sz w:val="28"/>
                <w:szCs w:val="28"/>
              </w:rPr>
              <w:t xml:space="preserve"> по разработке и реализации муниципальных программ МО ГО "Сыктывкар", утвержденны</w:t>
            </w:r>
            <w:r w:rsidR="00DB7BF0">
              <w:rPr>
                <w:sz w:val="28"/>
                <w:szCs w:val="28"/>
              </w:rPr>
              <w:t>ми</w:t>
            </w:r>
            <w:r w:rsidR="00CD5BCD" w:rsidRPr="00C70564">
              <w:rPr>
                <w:sz w:val="28"/>
                <w:szCs w:val="28"/>
              </w:rPr>
              <w:t xml:space="preserve"> </w:t>
            </w:r>
            <w:r w:rsidR="005E7A19" w:rsidRPr="00C70564">
              <w:rPr>
                <w:sz w:val="28"/>
                <w:szCs w:val="28"/>
              </w:rPr>
              <w:t>Постановлением администрации МО ГО "Сыктывкар" от 29.06.2012 № 6/2281 "О муниципальных программах МО ГО "Сыктывкар"</w:t>
            </w:r>
            <w:r w:rsidR="00CD5BCD" w:rsidRPr="00C70564">
              <w:rPr>
                <w:sz w:val="28"/>
                <w:szCs w:val="28"/>
              </w:rPr>
              <w:t xml:space="preserve"> (далее – Методические указания)</w:t>
            </w:r>
            <w:r w:rsidRPr="00C70564">
              <w:rPr>
                <w:sz w:val="28"/>
                <w:szCs w:val="28"/>
              </w:rPr>
              <w:t>.</w:t>
            </w:r>
            <w:r w:rsidR="005E7A19" w:rsidRPr="00C70564">
              <w:rPr>
                <w:sz w:val="28"/>
                <w:szCs w:val="28"/>
              </w:rPr>
              <w:t xml:space="preserve"> </w:t>
            </w:r>
            <w:r w:rsidRPr="00C70564">
              <w:rPr>
                <w:sz w:val="28"/>
                <w:szCs w:val="28"/>
              </w:rPr>
              <w:t>Таким образом, отсутствует возможность определить правильность расчета степени достижения целевых показателей, что в конечном итоге сказывается на достоверности отчетных данных по итогам реализации Программы.</w:t>
            </w:r>
          </w:p>
          <w:p w:rsidR="004A4D9B" w:rsidRPr="00C70564" w:rsidRDefault="004A4D9B" w:rsidP="00984039">
            <w:pPr>
              <w:widowControl/>
              <w:tabs>
                <w:tab w:val="left" w:pos="459"/>
              </w:tabs>
              <w:ind w:right="-91" w:firstLine="635"/>
              <w:jc w:val="both"/>
              <w:rPr>
                <w:sz w:val="28"/>
                <w:szCs w:val="28"/>
              </w:rPr>
            </w:pPr>
            <w:r w:rsidRPr="00C70564">
              <w:rPr>
                <w:sz w:val="28"/>
                <w:szCs w:val="28"/>
              </w:rPr>
              <w:t xml:space="preserve">Заявленное значение ключевого целевого показателя Программы "Уровень удовлетворенности населения информационной открытостью деятельности Администрации"– не менее 53 процентов ежегодно, ниже базисного за 2018 год (55,8 процентов), а также фактического за 2020-2021 годы (55 процентов), что </w:t>
            </w:r>
            <w:r w:rsidR="00984039" w:rsidRPr="00C70564">
              <w:rPr>
                <w:sz w:val="28"/>
                <w:szCs w:val="28"/>
              </w:rPr>
              <w:t xml:space="preserve">не только </w:t>
            </w:r>
            <w:r w:rsidRPr="00C70564">
              <w:rPr>
                <w:sz w:val="28"/>
                <w:szCs w:val="28"/>
              </w:rPr>
              <w:t>не предполагает развития</w:t>
            </w:r>
            <w:r w:rsidR="00286D9F" w:rsidRPr="00C70564">
              <w:rPr>
                <w:sz w:val="28"/>
                <w:szCs w:val="28"/>
              </w:rPr>
              <w:t xml:space="preserve"> (прогресса в достижении цели)</w:t>
            </w:r>
            <w:r w:rsidR="00984039" w:rsidRPr="00C70564">
              <w:rPr>
                <w:sz w:val="28"/>
                <w:szCs w:val="28"/>
              </w:rPr>
              <w:t>, но</w:t>
            </w:r>
            <w:r w:rsidRPr="00C70564">
              <w:rPr>
                <w:sz w:val="28"/>
                <w:szCs w:val="28"/>
              </w:rPr>
              <w:t xml:space="preserve"> и допускает снижение информационной открытости. </w:t>
            </w:r>
          </w:p>
          <w:p w:rsidR="004A4D9B" w:rsidRPr="00C70564" w:rsidRDefault="004A4D9B" w:rsidP="00984039">
            <w:pPr>
              <w:tabs>
                <w:tab w:val="left" w:pos="459"/>
              </w:tabs>
              <w:ind w:left="-108" w:right="-91" w:firstLine="743"/>
              <w:jc w:val="both"/>
              <w:rPr>
                <w:sz w:val="28"/>
                <w:szCs w:val="28"/>
              </w:rPr>
            </w:pPr>
            <w:r w:rsidRPr="00C70564">
              <w:rPr>
                <w:sz w:val="28"/>
                <w:szCs w:val="28"/>
              </w:rPr>
              <w:t xml:space="preserve">Данное замечание было указано </w:t>
            </w:r>
            <w:r w:rsidR="00DB7BF0">
              <w:rPr>
                <w:sz w:val="28"/>
                <w:szCs w:val="28"/>
              </w:rPr>
              <w:t xml:space="preserve">ранее </w:t>
            </w:r>
            <w:r w:rsidRPr="00C70564">
              <w:rPr>
                <w:sz w:val="28"/>
                <w:szCs w:val="28"/>
              </w:rPr>
              <w:t>в заключении Контроль</w:t>
            </w:r>
            <w:r w:rsidR="00DB7BF0">
              <w:rPr>
                <w:sz w:val="28"/>
                <w:szCs w:val="28"/>
              </w:rPr>
              <w:t xml:space="preserve">но-счетной палаты от 02.07.2020. </w:t>
            </w:r>
            <w:r w:rsidRPr="00C70564">
              <w:rPr>
                <w:sz w:val="28"/>
                <w:szCs w:val="28"/>
              </w:rPr>
              <w:t xml:space="preserve">Между тем показатель в Программе не был откорректирован. </w:t>
            </w:r>
          </w:p>
          <w:p w:rsidR="004A4D9B" w:rsidRPr="00C70564" w:rsidRDefault="004A4D9B" w:rsidP="00984039">
            <w:pPr>
              <w:widowControl/>
              <w:tabs>
                <w:tab w:val="left" w:pos="459"/>
              </w:tabs>
              <w:ind w:right="-91" w:firstLine="635"/>
              <w:jc w:val="both"/>
              <w:rPr>
                <w:sz w:val="28"/>
                <w:szCs w:val="28"/>
              </w:rPr>
            </w:pPr>
            <w:r w:rsidRPr="00C70564">
              <w:rPr>
                <w:sz w:val="28"/>
                <w:szCs w:val="28"/>
              </w:rPr>
              <w:t xml:space="preserve">Несогласованность </w:t>
            </w:r>
            <w:r w:rsidR="008D1598" w:rsidRPr="00C70564">
              <w:rPr>
                <w:sz w:val="28"/>
                <w:szCs w:val="28"/>
              </w:rPr>
              <w:t xml:space="preserve">структуры </w:t>
            </w:r>
            <w:r w:rsidRPr="00C70564">
              <w:rPr>
                <w:sz w:val="28"/>
                <w:szCs w:val="28"/>
              </w:rPr>
              <w:t>результат</w:t>
            </w:r>
            <w:r w:rsidR="00E861FA">
              <w:rPr>
                <w:sz w:val="28"/>
                <w:szCs w:val="28"/>
              </w:rPr>
              <w:t>а</w:t>
            </w:r>
            <w:r w:rsidRPr="00C70564">
              <w:rPr>
                <w:sz w:val="28"/>
                <w:szCs w:val="28"/>
              </w:rPr>
              <w:t xml:space="preserve"> реализации</w:t>
            </w:r>
            <w:r w:rsidR="008D1598" w:rsidRPr="00C70564">
              <w:rPr>
                <w:sz w:val="28"/>
                <w:szCs w:val="28"/>
              </w:rPr>
              <w:t xml:space="preserve"> </w:t>
            </w:r>
            <w:r w:rsidRPr="00C70564">
              <w:rPr>
                <w:sz w:val="28"/>
                <w:szCs w:val="28"/>
              </w:rPr>
              <w:t>Подпрограммы</w:t>
            </w:r>
            <w:r w:rsidR="00C36D2C">
              <w:rPr>
                <w:sz w:val="28"/>
                <w:szCs w:val="28"/>
              </w:rPr>
              <w:t xml:space="preserve"> </w:t>
            </w:r>
            <w:r w:rsidR="00E861FA">
              <w:rPr>
                <w:sz w:val="28"/>
                <w:szCs w:val="28"/>
              </w:rPr>
              <w:t xml:space="preserve">"Информационное общество" – </w:t>
            </w:r>
            <w:r w:rsidR="005E7A19" w:rsidRPr="00C70564">
              <w:rPr>
                <w:sz w:val="28"/>
                <w:szCs w:val="28"/>
              </w:rPr>
              <w:t xml:space="preserve">"Обеспечение доступности информации о деятельности муниципалитета за счет информирования населения о социально </w:t>
            </w:r>
            <w:r w:rsidR="005E7A19" w:rsidRPr="00C70564">
              <w:rPr>
                <w:sz w:val="28"/>
                <w:szCs w:val="28"/>
              </w:rPr>
              <w:lastRenderedPageBreak/>
              <w:t xml:space="preserve">значимых мероприятиях, проводимых главой МО ГО "Сыктывкар" - руководителем администрации и администрацией МО ГО "Сыктывкар", в количестве не менее 290 сообщений в год" </w:t>
            </w:r>
            <w:r w:rsidRPr="00C70564">
              <w:rPr>
                <w:sz w:val="28"/>
                <w:szCs w:val="28"/>
              </w:rPr>
              <w:t xml:space="preserve">и </w:t>
            </w:r>
            <w:r w:rsidR="00E861FA" w:rsidRPr="00C70564">
              <w:rPr>
                <w:sz w:val="28"/>
                <w:szCs w:val="28"/>
              </w:rPr>
              <w:t>целев</w:t>
            </w:r>
            <w:r w:rsidR="00A85E30">
              <w:rPr>
                <w:sz w:val="28"/>
                <w:szCs w:val="28"/>
              </w:rPr>
              <w:t>ого</w:t>
            </w:r>
            <w:r w:rsidR="00E861FA" w:rsidRPr="00C70564">
              <w:rPr>
                <w:sz w:val="28"/>
                <w:szCs w:val="28"/>
              </w:rPr>
              <w:t xml:space="preserve"> показател</w:t>
            </w:r>
            <w:r w:rsidR="00A85E30">
              <w:rPr>
                <w:sz w:val="28"/>
                <w:szCs w:val="28"/>
              </w:rPr>
              <w:t>я</w:t>
            </w:r>
            <w:r w:rsidR="00E861FA" w:rsidRPr="00C70564">
              <w:rPr>
                <w:sz w:val="28"/>
                <w:szCs w:val="28"/>
              </w:rPr>
              <w:t xml:space="preserve"> </w:t>
            </w:r>
            <w:r w:rsidRPr="00C70564">
              <w:rPr>
                <w:sz w:val="28"/>
                <w:szCs w:val="28"/>
              </w:rPr>
              <w:t xml:space="preserve">Основного мероприятия 1.1.1 </w:t>
            </w:r>
            <w:r w:rsidR="008D1598" w:rsidRPr="00C70564">
              <w:rPr>
                <w:sz w:val="28"/>
                <w:szCs w:val="28"/>
              </w:rPr>
              <w:t>"Освещение в средствах массовой информации социально значимых мероприятий, проводимых на территории МО ГО "Сыктывкар"</w:t>
            </w:r>
            <w:r w:rsidR="008D1598" w:rsidRPr="00C70564">
              <w:t xml:space="preserve"> </w:t>
            </w:r>
            <w:r w:rsidRPr="00C70564">
              <w:rPr>
                <w:sz w:val="28"/>
                <w:szCs w:val="28"/>
              </w:rPr>
              <w:t xml:space="preserve">указанной Подпрограммы </w:t>
            </w:r>
            <w:r w:rsidR="008D1598" w:rsidRPr="00C70564">
              <w:rPr>
                <w:sz w:val="28"/>
                <w:szCs w:val="28"/>
              </w:rPr>
              <w:t xml:space="preserve">в количестве </w:t>
            </w:r>
            <w:r w:rsidRPr="00C70564">
              <w:rPr>
                <w:sz w:val="28"/>
                <w:szCs w:val="28"/>
              </w:rPr>
              <w:t xml:space="preserve">408 сообщений ставит под сомнение </w:t>
            </w:r>
            <w:r w:rsidR="00DB7BF0">
              <w:rPr>
                <w:sz w:val="28"/>
                <w:szCs w:val="28"/>
              </w:rPr>
              <w:t xml:space="preserve">обоснованность </w:t>
            </w:r>
            <w:r w:rsidRPr="00C70564">
              <w:rPr>
                <w:sz w:val="28"/>
                <w:szCs w:val="28"/>
              </w:rPr>
              <w:t>установленно</w:t>
            </w:r>
            <w:r w:rsidR="00DB7BF0">
              <w:rPr>
                <w:sz w:val="28"/>
                <w:szCs w:val="28"/>
              </w:rPr>
              <w:t>го</w:t>
            </w:r>
            <w:r w:rsidRPr="00C70564">
              <w:rPr>
                <w:sz w:val="28"/>
                <w:szCs w:val="28"/>
              </w:rPr>
              <w:t xml:space="preserve"> ресурсно</w:t>
            </w:r>
            <w:r w:rsidR="00DB7BF0">
              <w:rPr>
                <w:sz w:val="28"/>
                <w:szCs w:val="28"/>
              </w:rPr>
              <w:t>го</w:t>
            </w:r>
            <w:r w:rsidRPr="00C70564">
              <w:rPr>
                <w:sz w:val="28"/>
                <w:szCs w:val="28"/>
              </w:rPr>
              <w:t xml:space="preserve"> обеспечени</w:t>
            </w:r>
            <w:r w:rsidR="00DB7BF0">
              <w:rPr>
                <w:sz w:val="28"/>
                <w:szCs w:val="28"/>
              </w:rPr>
              <w:t>я</w:t>
            </w:r>
            <w:r w:rsidRPr="00C70564">
              <w:rPr>
                <w:sz w:val="28"/>
                <w:szCs w:val="28"/>
              </w:rPr>
              <w:t xml:space="preserve"> и эффективность использования бюджетных средств. </w:t>
            </w:r>
          </w:p>
          <w:p w:rsidR="004A4D9B" w:rsidRPr="00C70564" w:rsidRDefault="004A4D9B" w:rsidP="00984039">
            <w:pPr>
              <w:widowControl/>
              <w:tabs>
                <w:tab w:val="left" w:pos="459"/>
              </w:tabs>
              <w:autoSpaceDE/>
              <w:autoSpaceDN/>
              <w:adjustRightInd/>
              <w:ind w:right="-91" w:firstLine="635"/>
              <w:jc w:val="both"/>
              <w:rPr>
                <w:sz w:val="28"/>
                <w:szCs w:val="28"/>
              </w:rPr>
            </w:pPr>
            <w:r w:rsidRPr="00C70564">
              <w:rPr>
                <w:sz w:val="28"/>
                <w:szCs w:val="28"/>
              </w:rPr>
              <w:t xml:space="preserve">Отсутствие порядка и критериев отнесения опубликованных материалов к социально значимой тематике не позволило оценить достоверность данных, отраженных в </w:t>
            </w:r>
            <w:r w:rsidR="00423B05" w:rsidRPr="00C70564">
              <w:rPr>
                <w:sz w:val="28"/>
                <w:szCs w:val="28"/>
              </w:rPr>
              <w:t xml:space="preserve">отчете по программе за 2021 год и привело к тому, что ответственным соисполнителем Подпрограммы </w:t>
            </w:r>
            <w:r w:rsidR="00A85E30">
              <w:rPr>
                <w:sz w:val="28"/>
                <w:szCs w:val="28"/>
              </w:rPr>
              <w:t>"Информационное общество",</w:t>
            </w:r>
            <w:r w:rsidR="00CD5BCD" w:rsidRPr="00C70564">
              <w:rPr>
                <w:sz w:val="28"/>
                <w:szCs w:val="28"/>
              </w:rPr>
              <w:t xml:space="preserve"> </w:t>
            </w:r>
            <w:r w:rsidR="00423B05" w:rsidRPr="00C70564">
              <w:rPr>
                <w:sz w:val="28"/>
                <w:szCs w:val="28"/>
              </w:rPr>
              <w:t>при определении значений индикаторов</w:t>
            </w:r>
            <w:r w:rsidR="00A85E30">
              <w:rPr>
                <w:sz w:val="28"/>
                <w:szCs w:val="28"/>
              </w:rPr>
              <w:t>,</w:t>
            </w:r>
            <w:r w:rsidR="00423B05" w:rsidRPr="00C70564">
              <w:rPr>
                <w:sz w:val="28"/>
                <w:szCs w:val="28"/>
              </w:rPr>
              <w:t xml:space="preserve"> используются данные "исходя из общепринятых критериев", а также на основании перечня, установленного для муниципального задания в целях выпуска печатного издания (газеты).</w:t>
            </w:r>
          </w:p>
          <w:p w:rsidR="004A4D9B" w:rsidRPr="00C70564" w:rsidRDefault="004A4D9B" w:rsidP="00984039">
            <w:pPr>
              <w:widowControl/>
              <w:tabs>
                <w:tab w:val="left" w:pos="459"/>
              </w:tabs>
              <w:autoSpaceDE/>
              <w:autoSpaceDN/>
              <w:adjustRightInd/>
              <w:ind w:right="-91" w:firstLine="635"/>
              <w:jc w:val="both"/>
              <w:rPr>
                <w:sz w:val="28"/>
                <w:szCs w:val="28"/>
              </w:rPr>
            </w:pPr>
            <w:r w:rsidRPr="00C70564">
              <w:rPr>
                <w:sz w:val="28"/>
                <w:szCs w:val="28"/>
              </w:rPr>
              <w:t>В расчет целевого показателя необоснованно включаются информационные материалы, размещаемые в средствах массовой информации не по инициативе Администрации, что искажает оценку эффективности реализации Подпрограммы.</w:t>
            </w:r>
          </w:p>
          <w:p w:rsidR="004A4D9B" w:rsidRPr="00C70564" w:rsidRDefault="004A4D9B" w:rsidP="00423B05">
            <w:pPr>
              <w:widowControl/>
              <w:tabs>
                <w:tab w:val="left" w:pos="459"/>
              </w:tabs>
              <w:autoSpaceDE/>
              <w:autoSpaceDN/>
              <w:adjustRightInd/>
              <w:ind w:right="-91" w:firstLine="635"/>
              <w:jc w:val="both"/>
              <w:rPr>
                <w:sz w:val="28"/>
                <w:szCs w:val="28"/>
              </w:rPr>
            </w:pPr>
            <w:r w:rsidRPr="00C70564">
              <w:rPr>
                <w:sz w:val="28"/>
                <w:szCs w:val="28"/>
              </w:rPr>
              <w:t>Наименование целевого показателя "Объем тиража печатного издания "Панорама столицы"… не соответствует единицам измерения, установленным для указанного показателя – печатный лист.</w:t>
            </w:r>
          </w:p>
          <w:p w:rsidR="004A4D9B" w:rsidRPr="00C70564" w:rsidRDefault="004A4D9B" w:rsidP="00984039">
            <w:pPr>
              <w:widowControl/>
              <w:tabs>
                <w:tab w:val="left" w:pos="317"/>
                <w:tab w:val="left" w:pos="459"/>
              </w:tabs>
              <w:autoSpaceDE/>
              <w:autoSpaceDN/>
              <w:adjustRightInd/>
              <w:ind w:right="-91" w:firstLine="635"/>
              <w:jc w:val="both"/>
              <w:rPr>
                <w:sz w:val="28"/>
                <w:szCs w:val="28"/>
              </w:rPr>
            </w:pPr>
            <w:r w:rsidRPr="00C70564">
              <w:rPr>
                <w:sz w:val="28"/>
                <w:szCs w:val="28"/>
              </w:rPr>
              <w:t>Целевой показатель "Уровень просроченной кредиторской задолженности, 0%" не соответствует целям и задачам Программы, и не может применяться для оценки ее эффективности.</w:t>
            </w:r>
          </w:p>
          <w:p w:rsidR="004A4D9B" w:rsidRPr="00C70564" w:rsidRDefault="004A4D9B" w:rsidP="00984039">
            <w:pPr>
              <w:widowControl/>
              <w:tabs>
                <w:tab w:val="left" w:pos="547"/>
              </w:tabs>
              <w:ind w:right="-91" w:firstLine="635"/>
              <w:jc w:val="both"/>
              <w:outlineLvl w:val="0"/>
              <w:rPr>
                <w:color w:val="000000"/>
                <w:sz w:val="28"/>
                <w:szCs w:val="28"/>
              </w:rPr>
            </w:pPr>
            <w:r w:rsidRPr="00C70564">
              <w:rPr>
                <w:color w:val="000000"/>
                <w:sz w:val="28"/>
                <w:szCs w:val="28"/>
              </w:rPr>
              <w:t xml:space="preserve">Значение </w:t>
            </w:r>
            <w:r w:rsidRPr="00C70564">
              <w:rPr>
                <w:sz w:val="28"/>
                <w:szCs w:val="28"/>
              </w:rPr>
              <w:t>конечного и непосредственного результата</w:t>
            </w:r>
            <w:r w:rsidRPr="00C70564">
              <w:rPr>
                <w:color w:val="000000"/>
                <w:sz w:val="28"/>
                <w:szCs w:val="28"/>
              </w:rPr>
              <w:t xml:space="preserve"> целевого показателя Программы "Доля муниципальных услуг, предоставляемых по принципу "одного окна" от общего количества муниципальных услуг, утвержденных Реестром муниципальных услуг, предоставляемых Администрацией"</w:t>
            </w:r>
            <w:r w:rsidR="00286D9F" w:rsidRPr="00C70564">
              <w:rPr>
                <w:color w:val="000000"/>
                <w:sz w:val="28"/>
                <w:szCs w:val="28"/>
              </w:rPr>
              <w:t xml:space="preserve"> – </w:t>
            </w:r>
            <w:r w:rsidRPr="00C70564">
              <w:rPr>
                <w:color w:val="000000"/>
                <w:sz w:val="28"/>
                <w:szCs w:val="28"/>
              </w:rPr>
              <w:t>не мене</w:t>
            </w:r>
            <w:r w:rsidR="00286D9F" w:rsidRPr="00C70564">
              <w:rPr>
                <w:color w:val="000000"/>
                <w:sz w:val="28"/>
                <w:szCs w:val="28"/>
              </w:rPr>
              <w:t>е 80 процентов на 2022-2025 гг.,</w:t>
            </w:r>
            <w:r w:rsidRPr="00C70564">
              <w:rPr>
                <w:color w:val="000000"/>
                <w:sz w:val="28"/>
                <w:szCs w:val="28"/>
              </w:rPr>
              <w:t xml:space="preserve"> ниже значения аналогичного показателя Стратегии </w:t>
            </w:r>
            <w:r w:rsidR="00286D9F" w:rsidRPr="00C70564">
              <w:rPr>
                <w:rFonts w:eastAsia="Calibri"/>
                <w:spacing w:val="-8"/>
                <w:sz w:val="28"/>
                <w:szCs w:val="28"/>
              </w:rPr>
              <w:t xml:space="preserve">социально-экономического развития МО ГО "Сыктывкар" до 2035 года, утвержденной решением Совета МО ГО "Сыктывкар" от 08.07.2011 № 03/2011-61 (далее – Стратегия) в </w:t>
            </w:r>
            <w:r w:rsidRPr="00C70564">
              <w:rPr>
                <w:color w:val="000000"/>
                <w:sz w:val="28"/>
                <w:szCs w:val="28"/>
              </w:rPr>
              <w:t>85 процентов ежегодно, что противоречит Методически</w:t>
            </w:r>
            <w:r w:rsidR="00DB7BF0">
              <w:rPr>
                <w:color w:val="000000"/>
                <w:sz w:val="28"/>
                <w:szCs w:val="28"/>
              </w:rPr>
              <w:t>м</w:t>
            </w:r>
            <w:r w:rsidRPr="00C70564">
              <w:rPr>
                <w:color w:val="000000"/>
                <w:sz w:val="28"/>
                <w:szCs w:val="28"/>
              </w:rPr>
              <w:t xml:space="preserve"> указани</w:t>
            </w:r>
            <w:r w:rsidR="00DB7BF0">
              <w:rPr>
                <w:color w:val="000000"/>
                <w:sz w:val="28"/>
                <w:szCs w:val="28"/>
              </w:rPr>
              <w:t>ям</w:t>
            </w:r>
            <w:r w:rsidRPr="00C70564">
              <w:rPr>
                <w:color w:val="000000"/>
                <w:sz w:val="28"/>
                <w:szCs w:val="28"/>
              </w:rPr>
              <w:t xml:space="preserve">. </w:t>
            </w:r>
          </w:p>
          <w:p w:rsidR="004A4D9B" w:rsidRPr="00C70564" w:rsidRDefault="00DB7BF0" w:rsidP="00984039">
            <w:pPr>
              <w:tabs>
                <w:tab w:val="left" w:pos="547"/>
              </w:tabs>
              <w:ind w:left="-108" w:right="-91" w:firstLine="743"/>
              <w:jc w:val="both"/>
              <w:outlineLvl w:val="0"/>
              <w:rPr>
                <w:color w:val="000000"/>
                <w:sz w:val="28"/>
                <w:szCs w:val="28"/>
              </w:rPr>
            </w:pPr>
            <w:r>
              <w:rPr>
                <w:color w:val="000000"/>
                <w:sz w:val="28"/>
                <w:szCs w:val="28"/>
              </w:rPr>
              <w:t>Ранее в</w:t>
            </w:r>
            <w:r w:rsidR="004208C0">
              <w:rPr>
                <w:color w:val="000000"/>
                <w:sz w:val="28"/>
                <w:szCs w:val="28"/>
              </w:rPr>
              <w:t xml:space="preserve"> з</w:t>
            </w:r>
            <w:r w:rsidR="004A4D9B" w:rsidRPr="00C70564">
              <w:rPr>
                <w:color w:val="000000"/>
                <w:sz w:val="28"/>
                <w:szCs w:val="28"/>
              </w:rPr>
              <w:t xml:space="preserve">аключении Контрольно-счетной палаты от 02.07.2020 было предложено увеличить значение показателя Программы, </w:t>
            </w:r>
            <w:r w:rsidR="004A4D9B" w:rsidRPr="00C70564">
              <w:rPr>
                <w:sz w:val="28"/>
                <w:szCs w:val="28"/>
              </w:rPr>
              <w:t>обеспечивающего его рост</w:t>
            </w:r>
            <w:r w:rsidR="004A4D9B" w:rsidRPr="00C70564">
              <w:rPr>
                <w:color w:val="000000"/>
                <w:sz w:val="28"/>
                <w:szCs w:val="28"/>
              </w:rPr>
              <w:t xml:space="preserve">. Между тем, значения целевого показателя в Программе не откорректированы. </w:t>
            </w:r>
          </w:p>
          <w:p w:rsidR="004A4D9B" w:rsidRPr="00C70564" w:rsidRDefault="004A4D9B" w:rsidP="00984039">
            <w:pPr>
              <w:widowControl/>
              <w:tabs>
                <w:tab w:val="left" w:pos="601"/>
              </w:tabs>
              <w:autoSpaceDE/>
              <w:autoSpaceDN/>
              <w:adjustRightInd/>
              <w:ind w:right="-91" w:firstLine="635"/>
              <w:jc w:val="both"/>
              <w:rPr>
                <w:sz w:val="28"/>
                <w:szCs w:val="28"/>
              </w:rPr>
            </w:pPr>
            <w:r w:rsidRPr="00C70564">
              <w:rPr>
                <w:sz w:val="28"/>
                <w:szCs w:val="28"/>
              </w:rPr>
              <w:t xml:space="preserve">Фактическое значение за 2021 по целевому показателю </w:t>
            </w:r>
            <w:r w:rsidRPr="00C70564">
              <w:rPr>
                <w:color w:val="000000"/>
                <w:sz w:val="28"/>
                <w:szCs w:val="28"/>
              </w:rPr>
              <w:t xml:space="preserve">"Доля муниципальных услуг, предоставляемых по принципу "одного окна" от общего количества муниципальных услуг, утвержденных Реестром муниципальных услуг, предоставляемых Администрацией" (90 процентов) не соответствуют фактическому значению аналогичного показателя Стратегии (88 процентов), </w:t>
            </w:r>
            <w:r w:rsidRPr="00C70564">
              <w:rPr>
                <w:sz w:val="28"/>
                <w:szCs w:val="28"/>
              </w:rPr>
              <w:t>что вызывает сомнение в достоверности отчетности о результатах реализации Программы и Стратегии, формируемой ответственными исполнителями.</w:t>
            </w:r>
          </w:p>
          <w:p w:rsidR="004A4D9B" w:rsidRPr="00C70564" w:rsidRDefault="004A4D9B" w:rsidP="00984039">
            <w:pPr>
              <w:widowControl/>
              <w:tabs>
                <w:tab w:val="left" w:pos="317"/>
                <w:tab w:val="left" w:pos="601"/>
              </w:tabs>
              <w:autoSpaceDE/>
              <w:autoSpaceDN/>
              <w:adjustRightInd/>
              <w:ind w:right="-91" w:firstLine="635"/>
              <w:jc w:val="both"/>
              <w:rPr>
                <w:sz w:val="28"/>
                <w:szCs w:val="28"/>
              </w:rPr>
            </w:pPr>
            <w:r w:rsidRPr="00C70564">
              <w:rPr>
                <w:sz w:val="28"/>
                <w:szCs w:val="28"/>
              </w:rPr>
              <w:lastRenderedPageBreak/>
              <w:t xml:space="preserve">Вызывает сомнение целесообразность </w:t>
            </w:r>
            <w:r w:rsidRPr="00C70564">
              <w:rPr>
                <w:color w:val="000000"/>
                <w:sz w:val="28"/>
                <w:szCs w:val="28"/>
              </w:rPr>
              <w:t>применения в качестве оценки эффективности Программы показателя "Количество архивных документов, находящихся на учете", при отсутствии у исполнителя возможности влиять на результат.</w:t>
            </w:r>
          </w:p>
          <w:p w:rsidR="004A4D9B" w:rsidRPr="00C70564" w:rsidRDefault="0046009F" w:rsidP="00984039">
            <w:pPr>
              <w:widowControl/>
              <w:tabs>
                <w:tab w:val="left" w:pos="601"/>
              </w:tabs>
              <w:autoSpaceDE/>
              <w:autoSpaceDN/>
              <w:adjustRightInd/>
              <w:ind w:right="-91" w:firstLine="635"/>
              <w:jc w:val="both"/>
              <w:rPr>
                <w:sz w:val="28"/>
                <w:szCs w:val="28"/>
              </w:rPr>
            </w:pPr>
            <w:r>
              <w:rPr>
                <w:color w:val="000000"/>
                <w:sz w:val="28"/>
                <w:szCs w:val="28"/>
              </w:rPr>
              <w:t>Целевой п</w:t>
            </w:r>
            <w:r w:rsidR="004A4D9B" w:rsidRPr="00C70564">
              <w:rPr>
                <w:color w:val="000000"/>
                <w:sz w:val="28"/>
                <w:szCs w:val="28"/>
              </w:rPr>
              <w:t>оказател</w:t>
            </w:r>
            <w:r>
              <w:rPr>
                <w:color w:val="000000"/>
                <w:sz w:val="28"/>
                <w:szCs w:val="28"/>
              </w:rPr>
              <w:t>ь</w:t>
            </w:r>
            <w:r w:rsidR="004A4D9B" w:rsidRPr="00C70564">
              <w:rPr>
                <w:color w:val="000000"/>
                <w:sz w:val="28"/>
                <w:szCs w:val="28"/>
              </w:rPr>
              <w:t xml:space="preserve"> "Количество автоматизированных рабочих мест отраслевых (функциональных), территориальных органов администрации, иных органов МО ГО "Сыктывкар" и муниципальных учреждений с техническим и программным обновлением от общего числа автоматизированных рабочих мест в год"</w:t>
            </w:r>
            <w:r>
              <w:rPr>
                <w:color w:val="000000"/>
                <w:sz w:val="28"/>
                <w:szCs w:val="28"/>
              </w:rPr>
              <w:t xml:space="preserve">, измеряемый в </w:t>
            </w:r>
            <w:r w:rsidRPr="00C70564">
              <w:rPr>
                <w:color w:val="000000"/>
                <w:sz w:val="28"/>
                <w:szCs w:val="28"/>
              </w:rPr>
              <w:t>ед</w:t>
            </w:r>
            <w:r>
              <w:rPr>
                <w:color w:val="000000"/>
                <w:sz w:val="28"/>
                <w:szCs w:val="28"/>
              </w:rPr>
              <w:t>и</w:t>
            </w:r>
            <w:r w:rsidRPr="00C70564">
              <w:rPr>
                <w:color w:val="000000"/>
                <w:sz w:val="28"/>
                <w:szCs w:val="28"/>
              </w:rPr>
              <w:t>ницах</w:t>
            </w:r>
            <w:r>
              <w:rPr>
                <w:color w:val="000000"/>
                <w:sz w:val="28"/>
                <w:szCs w:val="28"/>
              </w:rPr>
              <w:t>,</w:t>
            </w:r>
            <w:r w:rsidRPr="00C70564">
              <w:rPr>
                <w:color w:val="000000"/>
                <w:sz w:val="28"/>
                <w:szCs w:val="28"/>
              </w:rPr>
              <w:t xml:space="preserve"> </w:t>
            </w:r>
            <w:r w:rsidR="004A4D9B" w:rsidRPr="00C70564">
              <w:rPr>
                <w:color w:val="000000"/>
                <w:sz w:val="28"/>
                <w:szCs w:val="28"/>
              </w:rPr>
              <w:t>требует корректировки, так как является относительной ве</w:t>
            </w:r>
            <w:r w:rsidR="00286D9F" w:rsidRPr="00C70564">
              <w:rPr>
                <w:color w:val="000000"/>
                <w:sz w:val="28"/>
                <w:szCs w:val="28"/>
              </w:rPr>
              <w:t xml:space="preserve">личиной, измеряемой в процентах. </w:t>
            </w:r>
          </w:p>
          <w:p w:rsidR="004A4D9B" w:rsidRPr="00C70564" w:rsidRDefault="004A4D9B" w:rsidP="00984039">
            <w:pPr>
              <w:tabs>
                <w:tab w:val="left" w:pos="601"/>
              </w:tabs>
              <w:ind w:left="-108" w:right="-91" w:firstLine="743"/>
              <w:jc w:val="both"/>
              <w:rPr>
                <w:sz w:val="28"/>
                <w:szCs w:val="28"/>
              </w:rPr>
            </w:pPr>
            <w:r w:rsidRPr="00C70564">
              <w:rPr>
                <w:color w:val="000000"/>
                <w:sz w:val="28"/>
                <w:szCs w:val="28"/>
              </w:rPr>
              <w:t xml:space="preserve">Данное замечание указывалось </w:t>
            </w:r>
            <w:r w:rsidR="0046009F">
              <w:rPr>
                <w:color w:val="000000"/>
                <w:sz w:val="28"/>
                <w:szCs w:val="28"/>
              </w:rPr>
              <w:t xml:space="preserve">ранее </w:t>
            </w:r>
            <w:r w:rsidRPr="00C70564">
              <w:rPr>
                <w:color w:val="000000"/>
                <w:sz w:val="28"/>
                <w:szCs w:val="28"/>
              </w:rPr>
              <w:t xml:space="preserve">в </w:t>
            </w:r>
            <w:r w:rsidR="004208C0">
              <w:rPr>
                <w:color w:val="000000"/>
                <w:sz w:val="28"/>
                <w:szCs w:val="28"/>
              </w:rPr>
              <w:t>з</w:t>
            </w:r>
            <w:bookmarkStart w:id="0" w:name="_GoBack"/>
            <w:bookmarkEnd w:id="0"/>
            <w:r w:rsidRPr="00C70564">
              <w:rPr>
                <w:sz w:val="28"/>
                <w:szCs w:val="28"/>
              </w:rPr>
              <w:t xml:space="preserve">аключении Контрольно-счетной палаты от 02.07.2020. Между тем, корректировка не произведена. </w:t>
            </w:r>
          </w:p>
          <w:p w:rsidR="001B28F1" w:rsidRPr="00C70564" w:rsidRDefault="004A4D9B" w:rsidP="0046009F">
            <w:pPr>
              <w:tabs>
                <w:tab w:val="left" w:pos="-3780"/>
                <w:tab w:val="left" w:pos="-3600"/>
                <w:tab w:val="left" w:pos="601"/>
              </w:tabs>
              <w:spacing w:line="233" w:lineRule="auto"/>
              <w:ind w:firstLine="635"/>
              <w:jc w:val="both"/>
              <w:rPr>
                <w:rFonts w:eastAsia="Calibri"/>
                <w:color w:val="0070C0"/>
                <w:spacing w:val="-8"/>
                <w:sz w:val="28"/>
                <w:szCs w:val="28"/>
              </w:rPr>
            </w:pPr>
            <w:r w:rsidRPr="00C70564">
              <w:rPr>
                <w:sz w:val="28"/>
                <w:szCs w:val="28"/>
              </w:rPr>
              <w:t>Наличие ошибок в Годовом отчете о ходе реализации и оценке эффективности муниципальной программы привело к неправильным выводам об ее эффективности в 2021 году. С учетом перерасчета показателей</w:t>
            </w:r>
            <w:r w:rsidR="0046009F">
              <w:rPr>
                <w:sz w:val="28"/>
                <w:szCs w:val="28"/>
              </w:rPr>
              <w:t>,</w:t>
            </w:r>
            <w:r w:rsidRPr="00C70564">
              <w:rPr>
                <w:sz w:val="28"/>
                <w:szCs w:val="28"/>
              </w:rPr>
              <w:t xml:space="preserve"> итоговая рейтинговая оценка эффективности составляет 75,5 вместо 85,5 баллов, что в соответствии с Методическими указаниями снижает качественную оценку Программы с уровня эффективности "Эффективна" до "Умеренно эффективна".</w:t>
            </w:r>
          </w:p>
        </w:tc>
      </w:tr>
      <w:tr w:rsidR="001B28F1" w:rsidRPr="00984039" w:rsidTr="0023281E">
        <w:trPr>
          <w:trHeight w:val="711"/>
        </w:trPr>
        <w:tc>
          <w:tcPr>
            <w:tcW w:w="9815" w:type="dxa"/>
            <w:tcBorders>
              <w:top w:val="nil"/>
              <w:left w:val="nil"/>
              <w:bottom w:val="nil"/>
              <w:right w:val="nil"/>
            </w:tcBorders>
          </w:tcPr>
          <w:p w:rsidR="001B28F1" w:rsidRPr="00984039" w:rsidRDefault="00931B04" w:rsidP="00774291">
            <w:pPr>
              <w:spacing w:before="120" w:line="233" w:lineRule="auto"/>
              <w:ind w:firstLine="709"/>
              <w:jc w:val="both"/>
              <w:rPr>
                <w:rFonts w:eastAsia="Calibri"/>
                <w:spacing w:val="-8"/>
                <w:sz w:val="28"/>
                <w:szCs w:val="28"/>
              </w:rPr>
            </w:pPr>
            <w:r w:rsidRPr="00984039">
              <w:rPr>
                <w:rFonts w:eastAsia="Calibri"/>
                <w:spacing w:val="-8"/>
                <w:sz w:val="28"/>
                <w:szCs w:val="28"/>
              </w:rPr>
              <w:lastRenderedPageBreak/>
              <w:t xml:space="preserve">По результатам </w:t>
            </w:r>
            <w:r w:rsidR="001B28F1" w:rsidRPr="00984039">
              <w:rPr>
                <w:rFonts w:eastAsia="Calibri"/>
                <w:spacing w:val="-8"/>
                <w:sz w:val="28"/>
                <w:szCs w:val="28"/>
              </w:rPr>
              <w:t xml:space="preserve">экспертизы </w:t>
            </w:r>
            <w:r w:rsidRPr="00984039">
              <w:rPr>
                <w:rFonts w:eastAsia="Calibri"/>
                <w:spacing w:val="-8"/>
                <w:sz w:val="28"/>
                <w:szCs w:val="28"/>
              </w:rPr>
              <w:t>рекомен</w:t>
            </w:r>
            <w:r w:rsidR="00FD3664" w:rsidRPr="00984039">
              <w:rPr>
                <w:rFonts w:eastAsia="Calibri"/>
                <w:spacing w:val="-8"/>
                <w:sz w:val="28"/>
                <w:szCs w:val="28"/>
              </w:rPr>
              <w:t>д</w:t>
            </w:r>
            <w:r w:rsidRPr="00984039">
              <w:rPr>
                <w:rFonts w:eastAsia="Calibri"/>
                <w:spacing w:val="-8"/>
                <w:sz w:val="28"/>
                <w:szCs w:val="28"/>
              </w:rPr>
              <w:t>овано</w:t>
            </w:r>
            <w:r w:rsidR="001B28F1" w:rsidRPr="00984039">
              <w:rPr>
                <w:rFonts w:eastAsia="Calibri"/>
                <w:spacing w:val="-8"/>
                <w:sz w:val="28"/>
                <w:szCs w:val="28"/>
              </w:rPr>
              <w:t xml:space="preserve"> рассмотреть следующие вопросы:</w:t>
            </w:r>
          </w:p>
          <w:p w:rsidR="00984039" w:rsidRPr="00984039" w:rsidRDefault="00984039" w:rsidP="00984039">
            <w:pPr>
              <w:pStyle w:val="af4"/>
              <w:widowControl/>
              <w:numPr>
                <w:ilvl w:val="0"/>
                <w:numId w:val="22"/>
              </w:numPr>
              <w:tabs>
                <w:tab w:val="left" w:pos="176"/>
                <w:tab w:val="left" w:pos="459"/>
              </w:tabs>
              <w:autoSpaceDE/>
              <w:autoSpaceDN/>
              <w:adjustRightInd/>
              <w:spacing w:before="60" w:after="60" w:line="230" w:lineRule="auto"/>
              <w:ind w:left="-108" w:firstLine="0"/>
              <w:jc w:val="both"/>
              <w:rPr>
                <w:rFonts w:eastAsia="Times-Roman"/>
                <w:sz w:val="28"/>
                <w:szCs w:val="28"/>
              </w:rPr>
            </w:pPr>
            <w:r w:rsidRPr="00984039">
              <w:rPr>
                <w:rFonts w:eastAsia="Times-Roman"/>
                <w:sz w:val="28"/>
                <w:szCs w:val="28"/>
              </w:rPr>
              <w:t xml:space="preserve">О внесении изменений в Паспорт программы в части </w:t>
            </w:r>
            <w:r w:rsidR="0046009F">
              <w:rPr>
                <w:rFonts w:eastAsia="Times-Roman"/>
                <w:sz w:val="28"/>
                <w:szCs w:val="28"/>
              </w:rPr>
              <w:t>установленных</w:t>
            </w:r>
            <w:r w:rsidRPr="00984039">
              <w:rPr>
                <w:rFonts w:eastAsia="Times-Roman"/>
                <w:sz w:val="28"/>
                <w:szCs w:val="28"/>
              </w:rPr>
              <w:t xml:space="preserve"> соисполнител</w:t>
            </w:r>
            <w:r w:rsidR="0046009F">
              <w:rPr>
                <w:rFonts w:eastAsia="Times-Roman"/>
                <w:sz w:val="28"/>
                <w:szCs w:val="28"/>
              </w:rPr>
              <w:t>ей</w:t>
            </w:r>
            <w:r w:rsidRPr="00984039">
              <w:rPr>
                <w:rFonts w:eastAsia="Times-Roman"/>
                <w:sz w:val="28"/>
                <w:szCs w:val="28"/>
              </w:rPr>
              <w:t>.</w:t>
            </w:r>
          </w:p>
          <w:p w:rsidR="00984039" w:rsidRPr="00984039" w:rsidRDefault="00984039" w:rsidP="00984039">
            <w:pPr>
              <w:pStyle w:val="af4"/>
              <w:widowControl/>
              <w:numPr>
                <w:ilvl w:val="0"/>
                <w:numId w:val="22"/>
              </w:numPr>
              <w:tabs>
                <w:tab w:val="left" w:pos="176"/>
                <w:tab w:val="left" w:pos="459"/>
              </w:tabs>
              <w:autoSpaceDE/>
              <w:autoSpaceDN/>
              <w:adjustRightInd/>
              <w:spacing w:before="60" w:after="60" w:line="230" w:lineRule="auto"/>
              <w:ind w:left="-108" w:firstLine="0"/>
              <w:jc w:val="both"/>
              <w:rPr>
                <w:rFonts w:eastAsia="Times-Roman"/>
                <w:sz w:val="28"/>
                <w:szCs w:val="28"/>
              </w:rPr>
            </w:pPr>
            <w:r w:rsidRPr="00984039">
              <w:rPr>
                <w:rFonts w:eastAsia="Times-Roman"/>
                <w:sz w:val="28"/>
                <w:szCs w:val="28"/>
              </w:rPr>
              <w:t>Об утверждении Методики расчета целевых показателей (индикаторов) муниципальной программы, включая установление порядка и критериев отнесения материалов к социально значимой тематике.</w:t>
            </w:r>
          </w:p>
          <w:p w:rsidR="00984039" w:rsidRPr="00984039" w:rsidRDefault="00984039" w:rsidP="00984039">
            <w:pPr>
              <w:pStyle w:val="af4"/>
              <w:widowControl/>
              <w:numPr>
                <w:ilvl w:val="0"/>
                <w:numId w:val="22"/>
              </w:numPr>
              <w:tabs>
                <w:tab w:val="left" w:pos="176"/>
                <w:tab w:val="left" w:pos="459"/>
              </w:tabs>
              <w:autoSpaceDE/>
              <w:autoSpaceDN/>
              <w:adjustRightInd/>
              <w:spacing w:before="60" w:after="60" w:line="230" w:lineRule="auto"/>
              <w:ind w:left="-108" w:firstLine="0"/>
              <w:jc w:val="both"/>
              <w:rPr>
                <w:rFonts w:eastAsia="Times-Roman"/>
                <w:sz w:val="28"/>
                <w:szCs w:val="28"/>
              </w:rPr>
            </w:pPr>
            <w:r w:rsidRPr="00984039">
              <w:rPr>
                <w:rFonts w:eastAsia="Times-Roman"/>
                <w:sz w:val="28"/>
                <w:szCs w:val="28"/>
              </w:rPr>
              <w:t>О корректировке ожидаемых результатов и показателей (индикаторов) Программы в целях:</w:t>
            </w:r>
          </w:p>
          <w:p w:rsidR="00984039" w:rsidRPr="00984039" w:rsidRDefault="00984039" w:rsidP="00984039">
            <w:pPr>
              <w:pStyle w:val="af4"/>
              <w:widowControl/>
              <w:numPr>
                <w:ilvl w:val="0"/>
                <w:numId w:val="24"/>
              </w:numPr>
              <w:tabs>
                <w:tab w:val="left" w:pos="176"/>
                <w:tab w:val="left" w:pos="252"/>
              </w:tabs>
              <w:autoSpaceDE/>
              <w:autoSpaceDN/>
              <w:adjustRightInd/>
              <w:spacing w:before="60" w:after="60" w:line="230" w:lineRule="auto"/>
              <w:ind w:left="34" w:firstLine="0"/>
              <w:jc w:val="both"/>
              <w:rPr>
                <w:rFonts w:eastAsia="Times-Roman"/>
                <w:sz w:val="28"/>
                <w:szCs w:val="28"/>
              </w:rPr>
            </w:pPr>
            <w:proofErr w:type="gramStart"/>
            <w:r w:rsidRPr="00984039">
              <w:rPr>
                <w:sz w:val="28"/>
                <w:szCs w:val="28"/>
              </w:rPr>
              <w:t>соответствия</w:t>
            </w:r>
            <w:proofErr w:type="gramEnd"/>
            <w:r w:rsidRPr="00984039">
              <w:rPr>
                <w:sz w:val="28"/>
                <w:szCs w:val="28"/>
              </w:rPr>
              <w:t xml:space="preserve"> значений показателей Программы аналогичным значениям Стратегии;</w:t>
            </w:r>
          </w:p>
          <w:p w:rsidR="00984039" w:rsidRPr="00984039" w:rsidRDefault="00984039" w:rsidP="00984039">
            <w:pPr>
              <w:pStyle w:val="af4"/>
              <w:widowControl/>
              <w:numPr>
                <w:ilvl w:val="0"/>
                <w:numId w:val="24"/>
              </w:numPr>
              <w:tabs>
                <w:tab w:val="left" w:pos="176"/>
                <w:tab w:val="left" w:pos="252"/>
              </w:tabs>
              <w:autoSpaceDE/>
              <w:autoSpaceDN/>
              <w:adjustRightInd/>
              <w:spacing w:before="60" w:after="60" w:line="230" w:lineRule="auto"/>
              <w:ind w:left="34" w:firstLine="0"/>
              <w:jc w:val="both"/>
              <w:rPr>
                <w:rFonts w:eastAsia="Times-Roman"/>
                <w:sz w:val="28"/>
                <w:szCs w:val="28"/>
              </w:rPr>
            </w:pPr>
            <w:proofErr w:type="gramStart"/>
            <w:r w:rsidRPr="00984039">
              <w:rPr>
                <w:rFonts w:eastAsia="Times-Roman"/>
                <w:sz w:val="28"/>
                <w:szCs w:val="28"/>
              </w:rPr>
              <w:t>соответствия</w:t>
            </w:r>
            <w:proofErr w:type="gramEnd"/>
            <w:r w:rsidRPr="00984039">
              <w:rPr>
                <w:rFonts w:eastAsia="Times-Roman"/>
                <w:sz w:val="28"/>
                <w:szCs w:val="28"/>
              </w:rPr>
              <w:t xml:space="preserve"> количества </w:t>
            </w:r>
            <w:r w:rsidRPr="00984039">
              <w:rPr>
                <w:sz w:val="28"/>
                <w:szCs w:val="28"/>
              </w:rPr>
              <w:t>целевых показателей (индикаторов) предусмотренному  Программой</w:t>
            </w:r>
            <w:r w:rsidRPr="00984039">
              <w:rPr>
                <w:rFonts w:eastAsia="Times-Roman"/>
                <w:sz w:val="28"/>
                <w:szCs w:val="28"/>
              </w:rPr>
              <w:t xml:space="preserve">  их фактическому</w:t>
            </w:r>
            <w:r w:rsidRPr="00984039">
              <w:rPr>
                <w:sz w:val="28"/>
                <w:szCs w:val="28"/>
              </w:rPr>
              <w:t xml:space="preserve"> количеству;</w:t>
            </w:r>
          </w:p>
          <w:p w:rsidR="00984039" w:rsidRPr="00984039" w:rsidRDefault="00984039" w:rsidP="00984039">
            <w:pPr>
              <w:pStyle w:val="af4"/>
              <w:widowControl/>
              <w:numPr>
                <w:ilvl w:val="0"/>
                <w:numId w:val="24"/>
              </w:numPr>
              <w:tabs>
                <w:tab w:val="left" w:pos="176"/>
                <w:tab w:val="left" w:pos="252"/>
              </w:tabs>
              <w:autoSpaceDE/>
              <w:autoSpaceDN/>
              <w:adjustRightInd/>
              <w:spacing w:before="60" w:after="60" w:line="230" w:lineRule="auto"/>
              <w:ind w:left="34" w:firstLine="0"/>
              <w:jc w:val="both"/>
              <w:rPr>
                <w:rFonts w:eastAsia="Times-Roman"/>
                <w:sz w:val="28"/>
                <w:szCs w:val="28"/>
              </w:rPr>
            </w:pPr>
            <w:proofErr w:type="gramStart"/>
            <w:r w:rsidRPr="00984039">
              <w:rPr>
                <w:sz w:val="28"/>
                <w:szCs w:val="28"/>
              </w:rPr>
              <w:t>обеспечения</w:t>
            </w:r>
            <w:proofErr w:type="gramEnd"/>
            <w:r w:rsidRPr="00984039">
              <w:rPr>
                <w:sz w:val="28"/>
                <w:szCs w:val="28"/>
              </w:rPr>
              <w:t xml:space="preserve"> прогресса в достижении ключевого показателя Программы;</w:t>
            </w:r>
          </w:p>
          <w:p w:rsidR="00984039" w:rsidRPr="00984039" w:rsidRDefault="00984039" w:rsidP="00984039">
            <w:pPr>
              <w:pStyle w:val="af4"/>
              <w:widowControl/>
              <w:numPr>
                <w:ilvl w:val="0"/>
                <w:numId w:val="24"/>
              </w:numPr>
              <w:tabs>
                <w:tab w:val="left" w:pos="176"/>
                <w:tab w:val="left" w:pos="252"/>
              </w:tabs>
              <w:autoSpaceDE/>
              <w:autoSpaceDN/>
              <w:adjustRightInd/>
              <w:spacing w:before="60" w:after="60" w:line="230" w:lineRule="auto"/>
              <w:ind w:left="34" w:firstLine="0"/>
              <w:jc w:val="both"/>
              <w:rPr>
                <w:rFonts w:eastAsia="Times-Roman"/>
                <w:sz w:val="28"/>
                <w:szCs w:val="28"/>
              </w:rPr>
            </w:pPr>
            <w:proofErr w:type="gramStart"/>
            <w:r w:rsidRPr="00984039">
              <w:rPr>
                <w:sz w:val="28"/>
                <w:szCs w:val="28"/>
              </w:rPr>
              <w:t>согласованности</w:t>
            </w:r>
            <w:proofErr w:type="gramEnd"/>
            <w:r w:rsidRPr="00984039">
              <w:rPr>
                <w:sz w:val="28"/>
                <w:szCs w:val="28"/>
              </w:rPr>
              <w:t xml:space="preserve"> показателя ожидаемого результата реализации Подпрограммы и целевых показателей;</w:t>
            </w:r>
          </w:p>
          <w:p w:rsidR="00984039" w:rsidRPr="00984039" w:rsidRDefault="00984039" w:rsidP="00984039">
            <w:pPr>
              <w:pStyle w:val="af4"/>
              <w:widowControl/>
              <w:numPr>
                <w:ilvl w:val="0"/>
                <w:numId w:val="24"/>
              </w:numPr>
              <w:tabs>
                <w:tab w:val="left" w:pos="176"/>
                <w:tab w:val="left" w:pos="252"/>
              </w:tabs>
              <w:autoSpaceDE/>
              <w:autoSpaceDN/>
              <w:adjustRightInd/>
              <w:spacing w:before="60" w:after="60" w:line="230" w:lineRule="auto"/>
              <w:ind w:left="34" w:firstLine="0"/>
              <w:jc w:val="both"/>
              <w:rPr>
                <w:rFonts w:eastAsia="Times-Roman"/>
                <w:sz w:val="28"/>
                <w:szCs w:val="28"/>
              </w:rPr>
            </w:pPr>
            <w:proofErr w:type="gramStart"/>
            <w:r w:rsidRPr="00984039">
              <w:rPr>
                <w:rFonts w:eastAsia="Times-Roman"/>
                <w:sz w:val="28"/>
                <w:szCs w:val="28"/>
              </w:rPr>
              <w:t>приведения</w:t>
            </w:r>
            <w:proofErr w:type="gramEnd"/>
            <w:r w:rsidRPr="00984039">
              <w:rPr>
                <w:sz w:val="28"/>
                <w:szCs w:val="28"/>
              </w:rPr>
              <w:t xml:space="preserve"> в соответствие наименований целевых показателей с единицами измерения.</w:t>
            </w:r>
          </w:p>
          <w:p w:rsidR="001B28F1" w:rsidRPr="00984039" w:rsidRDefault="00984039" w:rsidP="00984039">
            <w:pPr>
              <w:pStyle w:val="af4"/>
              <w:widowControl/>
              <w:numPr>
                <w:ilvl w:val="0"/>
                <w:numId w:val="22"/>
              </w:numPr>
              <w:tabs>
                <w:tab w:val="left" w:pos="176"/>
                <w:tab w:val="left" w:pos="252"/>
              </w:tabs>
              <w:autoSpaceDE/>
              <w:autoSpaceDN/>
              <w:adjustRightInd/>
              <w:spacing w:before="60" w:after="60" w:line="230" w:lineRule="auto"/>
              <w:ind w:left="-74" w:hanging="43"/>
              <w:jc w:val="both"/>
              <w:rPr>
                <w:rFonts w:eastAsia="Times-Roman"/>
                <w:sz w:val="28"/>
                <w:szCs w:val="28"/>
              </w:rPr>
            </w:pPr>
            <w:r w:rsidRPr="00984039">
              <w:rPr>
                <w:sz w:val="28"/>
                <w:szCs w:val="28"/>
              </w:rPr>
              <w:t xml:space="preserve">О целесообразности применения в качестве оценки эффективности </w:t>
            </w:r>
            <w:r w:rsidRPr="00984039">
              <w:rPr>
                <w:color w:val="000000"/>
                <w:sz w:val="28"/>
                <w:szCs w:val="28"/>
              </w:rPr>
              <w:t>показателя, по которому у исполнителя отсутствует возможность влиять на результат.</w:t>
            </w:r>
          </w:p>
        </w:tc>
      </w:tr>
    </w:tbl>
    <w:p w:rsidR="001B28F1" w:rsidRPr="00984039" w:rsidRDefault="001B28F1" w:rsidP="00BA6C52">
      <w:pPr>
        <w:spacing w:before="120"/>
        <w:ind w:firstLine="709"/>
        <w:jc w:val="both"/>
        <w:rPr>
          <w:rFonts w:eastAsia="Calibri"/>
          <w:spacing w:val="-8"/>
          <w:sz w:val="28"/>
          <w:szCs w:val="28"/>
        </w:rPr>
      </w:pPr>
    </w:p>
    <w:sectPr w:rsidR="001B28F1" w:rsidRPr="00984039" w:rsidSect="00204250">
      <w:headerReference w:type="even" r:id="rId8"/>
      <w:headerReference w:type="default" r:id="rId9"/>
      <w:footerReference w:type="default" r:id="rId10"/>
      <w:footerReference w:type="first" r:id="rId11"/>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EE" w:rsidRDefault="00FA0FEE">
      <w:r>
        <w:separator/>
      </w:r>
    </w:p>
  </w:endnote>
  <w:endnote w:type="continuationSeparator" w:id="0">
    <w:p w:rsidR="00FA0FEE" w:rsidRDefault="00FA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EE" w:rsidRDefault="00FA0FEE">
      <w:r>
        <w:separator/>
      </w:r>
    </w:p>
  </w:footnote>
  <w:footnote w:type="continuationSeparator" w:id="0">
    <w:p w:rsidR="00FA0FEE" w:rsidRDefault="00FA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3281E">
      <w:rPr>
        <w:rStyle w:val="a6"/>
        <w:noProof/>
      </w:rPr>
      <w:t>2</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354FA9"/>
    <w:multiLevelType w:val="hybridMultilevel"/>
    <w:tmpl w:val="2FCE46B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813E1"/>
    <w:multiLevelType w:val="hybridMultilevel"/>
    <w:tmpl w:val="8CDA24C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40C04FC5"/>
    <w:multiLevelType w:val="hybridMultilevel"/>
    <w:tmpl w:val="3E00F510"/>
    <w:lvl w:ilvl="0" w:tplc="0AC8F9C0">
      <w:start w:val="1"/>
      <w:numFmt w:val="decimal"/>
      <w:lvlText w:val="%1."/>
      <w:lvlJc w:val="left"/>
      <w:pPr>
        <w:ind w:left="612" w:hanging="360"/>
      </w:pPr>
      <w:rPr>
        <w:strike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6">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496369"/>
    <w:multiLevelType w:val="hybridMultilevel"/>
    <w:tmpl w:val="F7D09478"/>
    <w:lvl w:ilvl="0" w:tplc="51129C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8">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6D4FB5"/>
    <w:multiLevelType w:val="hybridMultilevel"/>
    <w:tmpl w:val="E1D66656"/>
    <w:lvl w:ilvl="0" w:tplc="616CDB8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1">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4">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23"/>
  </w:num>
  <w:num w:numId="5">
    <w:abstractNumId w:val="21"/>
  </w:num>
  <w:num w:numId="6">
    <w:abstractNumId w:val="24"/>
  </w:num>
  <w:num w:numId="7">
    <w:abstractNumId w:val="16"/>
  </w:num>
  <w:num w:numId="8">
    <w:abstractNumId w:val="0"/>
  </w:num>
  <w:num w:numId="9">
    <w:abstractNumId w:val="15"/>
  </w:num>
  <w:num w:numId="10">
    <w:abstractNumId w:val="22"/>
  </w:num>
  <w:num w:numId="11">
    <w:abstractNumId w:val="5"/>
  </w:num>
  <w:num w:numId="12">
    <w:abstractNumId w:val="6"/>
  </w:num>
  <w:num w:numId="13">
    <w:abstractNumId w:val="1"/>
  </w:num>
  <w:num w:numId="14">
    <w:abstractNumId w:val="4"/>
  </w:num>
  <w:num w:numId="15">
    <w:abstractNumId w:val="14"/>
  </w:num>
  <w:num w:numId="16">
    <w:abstractNumId w:val="18"/>
  </w:num>
  <w:num w:numId="17">
    <w:abstractNumId w:val="9"/>
  </w:num>
  <w:num w:numId="18">
    <w:abstractNumId w:val="10"/>
  </w:num>
  <w:num w:numId="19">
    <w:abstractNumId w:val="11"/>
  </w:num>
  <w:num w:numId="20">
    <w:abstractNumId w:val="3"/>
  </w:num>
  <w:num w:numId="21">
    <w:abstractNumId w:val="8"/>
  </w:num>
  <w:num w:numId="22">
    <w:abstractNumId w:val="19"/>
  </w:num>
  <w:num w:numId="23">
    <w:abstractNumId w:val="13"/>
  </w:num>
  <w:num w:numId="24">
    <w:abstractNumId w:val="17"/>
  </w:num>
  <w:num w:numId="25">
    <w:abstractNumId w:val="7"/>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6EA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986"/>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653"/>
    <w:rsid w:val="000D3A61"/>
    <w:rsid w:val="000D3A87"/>
    <w:rsid w:val="000D409B"/>
    <w:rsid w:val="000D4EB6"/>
    <w:rsid w:val="000D4F54"/>
    <w:rsid w:val="000D5535"/>
    <w:rsid w:val="000D56E4"/>
    <w:rsid w:val="000D5B96"/>
    <w:rsid w:val="000D60C0"/>
    <w:rsid w:val="000D7B82"/>
    <w:rsid w:val="000E0570"/>
    <w:rsid w:val="000E0944"/>
    <w:rsid w:val="000E15DF"/>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4AE"/>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5DD7"/>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28F1"/>
    <w:rsid w:val="001B3084"/>
    <w:rsid w:val="001B3324"/>
    <w:rsid w:val="001B3327"/>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81E"/>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6D9F"/>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08C0"/>
    <w:rsid w:val="00421231"/>
    <w:rsid w:val="00421524"/>
    <w:rsid w:val="00422674"/>
    <w:rsid w:val="00422A4E"/>
    <w:rsid w:val="00422D3E"/>
    <w:rsid w:val="00422D77"/>
    <w:rsid w:val="00423234"/>
    <w:rsid w:val="004237A0"/>
    <w:rsid w:val="00423B05"/>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09F"/>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4D9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A19"/>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291"/>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D3A"/>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4D3"/>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566"/>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1598"/>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B04"/>
    <w:rsid w:val="00931EEA"/>
    <w:rsid w:val="00931FAD"/>
    <w:rsid w:val="009320B3"/>
    <w:rsid w:val="00932158"/>
    <w:rsid w:val="009328C3"/>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039"/>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E30"/>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6EA"/>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0F9"/>
    <w:rsid w:val="00C3447E"/>
    <w:rsid w:val="00C3460F"/>
    <w:rsid w:val="00C35024"/>
    <w:rsid w:val="00C35F23"/>
    <w:rsid w:val="00C367AD"/>
    <w:rsid w:val="00C36D2C"/>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564"/>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5BCD"/>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BF0"/>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1FA"/>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0E9"/>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0FEE"/>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664"/>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0B97C3-77E5-43E9-BEFA-B68820F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9C4-5CB9-4026-B558-0D02BED0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Мезенцева Ирина Геннадьевна</cp:lastModifiedBy>
  <cp:revision>4</cp:revision>
  <cp:lastPrinted>2022-12-20T06:51:00Z</cp:lastPrinted>
  <dcterms:created xsi:type="dcterms:W3CDTF">2022-12-19T11:23:00Z</dcterms:created>
  <dcterms:modified xsi:type="dcterms:W3CDTF">2022-12-20T07:11:00Z</dcterms:modified>
</cp:coreProperties>
</file>