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E1" w:rsidRPr="006307E1" w:rsidRDefault="00F93565" w:rsidP="006307E1">
      <w:pPr>
        <w:jc w:val="center"/>
        <w:rPr>
          <w:rFonts w:eastAsia="Calibri"/>
          <w:szCs w:val="28"/>
        </w:rPr>
      </w:pPr>
      <w:r w:rsidRPr="000E54E1">
        <w:rPr>
          <w:rFonts w:eastAsia="Calibri"/>
          <w:szCs w:val="28"/>
        </w:rPr>
        <w:t xml:space="preserve">Об </w:t>
      </w:r>
      <w:r w:rsidR="006307E1" w:rsidRPr="006307E1">
        <w:rPr>
          <w:rFonts w:eastAsia="Calibri"/>
          <w:szCs w:val="28"/>
        </w:rPr>
        <w:t>итогах проверки использования бюджетных средств, выделенных на организацию и осуществление пассажирских перевозок</w:t>
      </w:r>
    </w:p>
    <w:p w:rsidR="008C5B75" w:rsidRPr="000E54E1" w:rsidRDefault="008C5B75" w:rsidP="009D33C2">
      <w:pPr>
        <w:jc w:val="center"/>
        <w:rPr>
          <w:szCs w:val="28"/>
        </w:rPr>
      </w:pPr>
    </w:p>
    <w:p w:rsidR="00772843" w:rsidRPr="000E54E1" w:rsidRDefault="00772843" w:rsidP="009D33C2">
      <w:pPr>
        <w:spacing w:before="120"/>
        <w:ind w:firstLine="426"/>
        <w:jc w:val="both"/>
        <w:rPr>
          <w:rFonts w:eastAsia="Calibri"/>
          <w:szCs w:val="28"/>
        </w:rPr>
      </w:pPr>
      <w:r w:rsidRPr="000E54E1">
        <w:rPr>
          <w:szCs w:val="28"/>
        </w:rPr>
        <w:t>В соо</w:t>
      </w:r>
      <w:r w:rsidR="00A171A9" w:rsidRPr="000E54E1">
        <w:rPr>
          <w:szCs w:val="28"/>
        </w:rPr>
        <w:t>тветствии с планом работы на 202</w:t>
      </w:r>
      <w:r w:rsidR="00F93565" w:rsidRPr="000E54E1">
        <w:rPr>
          <w:szCs w:val="28"/>
        </w:rPr>
        <w:t>3</w:t>
      </w:r>
      <w:r w:rsidRPr="000E54E1">
        <w:rPr>
          <w:szCs w:val="28"/>
        </w:rPr>
        <w:t xml:space="preserve"> год</w:t>
      </w:r>
      <w:r w:rsidR="00DD357E" w:rsidRPr="000E54E1">
        <w:rPr>
          <w:szCs w:val="28"/>
        </w:rPr>
        <w:t>,</w:t>
      </w:r>
      <w:r w:rsidRPr="000E54E1">
        <w:rPr>
          <w:szCs w:val="28"/>
        </w:rPr>
        <w:t xml:space="preserve"> Контрольно-счетной палатой муниципального образования городского округа "Сыктывкар" проведен</w:t>
      </w:r>
      <w:r w:rsidR="00A11F17" w:rsidRPr="000E54E1">
        <w:rPr>
          <w:szCs w:val="28"/>
        </w:rPr>
        <w:t>а</w:t>
      </w:r>
      <w:r w:rsidRPr="000E54E1">
        <w:rPr>
          <w:szCs w:val="28"/>
        </w:rPr>
        <w:t xml:space="preserve"> </w:t>
      </w:r>
      <w:r w:rsidR="00A11F17" w:rsidRPr="000E54E1">
        <w:rPr>
          <w:szCs w:val="28"/>
        </w:rPr>
        <w:t xml:space="preserve">проверка </w:t>
      </w:r>
      <w:r w:rsidR="006307E1" w:rsidRPr="006307E1">
        <w:rPr>
          <w:szCs w:val="28"/>
        </w:rPr>
        <w:t>использования бюджетных средств, выделенных на организацию и осуществление пассажирских перевозок</w:t>
      </w:r>
      <w:r w:rsidR="00F93565" w:rsidRPr="000E54E1">
        <w:rPr>
          <w:rFonts w:eastAsia="Calibri"/>
          <w:szCs w:val="28"/>
        </w:rPr>
        <w:t>.</w:t>
      </w:r>
    </w:p>
    <w:p w:rsidR="006307E1" w:rsidRPr="00586699" w:rsidRDefault="006307E1" w:rsidP="006307E1">
      <w:pPr>
        <w:spacing w:before="120"/>
        <w:ind w:firstLine="426"/>
        <w:jc w:val="both"/>
        <w:rPr>
          <w:szCs w:val="28"/>
        </w:rPr>
      </w:pPr>
      <w:r w:rsidRPr="00586699">
        <w:rPr>
          <w:szCs w:val="28"/>
        </w:rPr>
        <w:t>Реализация мероприятий по организации и осуществлению пассажирских перевозок в проверяемом периоде осуществлялась в рамках двух муниципальных программ:</w:t>
      </w:r>
    </w:p>
    <w:p w:rsidR="006307E1" w:rsidRPr="00586699" w:rsidRDefault="00A929A2" w:rsidP="006307E1">
      <w:pPr>
        <w:ind w:firstLine="425"/>
        <w:jc w:val="both"/>
        <w:rPr>
          <w:szCs w:val="28"/>
        </w:rPr>
      </w:pPr>
      <w:r w:rsidRPr="00586699">
        <w:rPr>
          <w:szCs w:val="28"/>
        </w:rPr>
        <w:t>-</w:t>
      </w:r>
      <w:r w:rsidR="006307E1" w:rsidRPr="00586699">
        <w:rPr>
          <w:szCs w:val="28"/>
        </w:rPr>
        <w:t xml:space="preserve"> в 2022 году в рамках программы "Городское хозяйство";</w:t>
      </w:r>
    </w:p>
    <w:p w:rsidR="006307E1" w:rsidRPr="00586699" w:rsidRDefault="00A929A2" w:rsidP="006307E1">
      <w:pPr>
        <w:ind w:firstLine="425"/>
        <w:jc w:val="both"/>
        <w:rPr>
          <w:szCs w:val="28"/>
        </w:rPr>
      </w:pPr>
      <w:r w:rsidRPr="00586699">
        <w:rPr>
          <w:szCs w:val="28"/>
        </w:rPr>
        <w:t>-</w:t>
      </w:r>
      <w:r w:rsidR="006307E1" w:rsidRPr="00586699">
        <w:rPr>
          <w:szCs w:val="28"/>
        </w:rPr>
        <w:t xml:space="preserve"> в 2023 году в рамках программы "Развитие транспортной системы".</w:t>
      </w:r>
    </w:p>
    <w:p w:rsidR="006307E1" w:rsidRPr="00586699" w:rsidRDefault="006307E1" w:rsidP="006307E1">
      <w:pPr>
        <w:spacing w:before="120"/>
        <w:ind w:firstLine="426"/>
        <w:jc w:val="both"/>
        <w:rPr>
          <w:szCs w:val="28"/>
        </w:rPr>
      </w:pPr>
      <w:r w:rsidRPr="00586699">
        <w:rPr>
          <w:szCs w:val="28"/>
        </w:rPr>
        <w:t xml:space="preserve">В муниципальной программе "Развитие транспортной системы" отсутствуют качественные показатели, предусмотренные Пунктом 16 </w:t>
      </w:r>
      <w:r w:rsidR="00A929A2" w:rsidRPr="00586699">
        <w:rPr>
          <w:szCs w:val="28"/>
        </w:rPr>
        <w:t>Методических указаний, утвержденных постановлением администрации МО ГО "Сыктывкар" от 29.06.2012 № 6/2281</w:t>
      </w:r>
      <w:r w:rsidRPr="00586699">
        <w:rPr>
          <w:szCs w:val="28"/>
        </w:rPr>
        <w:t>.</w:t>
      </w:r>
    </w:p>
    <w:p w:rsidR="006307E1" w:rsidRPr="00586699" w:rsidRDefault="006307E1" w:rsidP="006307E1">
      <w:pPr>
        <w:spacing w:before="120"/>
        <w:ind w:firstLine="426"/>
        <w:jc w:val="both"/>
        <w:rPr>
          <w:szCs w:val="28"/>
        </w:rPr>
      </w:pPr>
      <w:r w:rsidRPr="00586699">
        <w:rPr>
          <w:szCs w:val="28"/>
        </w:rPr>
        <w:t>В МО ГО "Сыктывкар" применятся только 1 из 15 показателей качества транспортного обслуживания населения, рекомендованных Социальным стандартом транспортного обслуживания населения, утвержденны</w:t>
      </w:r>
      <w:r w:rsidR="00A929A2" w:rsidRPr="00586699">
        <w:rPr>
          <w:szCs w:val="28"/>
        </w:rPr>
        <w:t>м</w:t>
      </w:r>
      <w:r w:rsidRPr="00586699">
        <w:rPr>
          <w:szCs w:val="28"/>
        </w:rPr>
        <w:t xml:space="preserve"> распоряжением М</w:t>
      </w:r>
      <w:r w:rsidR="00A929A2" w:rsidRPr="00586699">
        <w:rPr>
          <w:szCs w:val="28"/>
        </w:rPr>
        <w:t>интранса России от 31.01.2017 № НА-19-р</w:t>
      </w:r>
      <w:r w:rsidRPr="00586699">
        <w:rPr>
          <w:szCs w:val="28"/>
        </w:rPr>
        <w:t>.</w:t>
      </w:r>
    </w:p>
    <w:p w:rsidR="006307E1" w:rsidRPr="00586699" w:rsidRDefault="006307E1" w:rsidP="00A929A2">
      <w:pPr>
        <w:spacing w:before="120"/>
        <w:ind w:firstLine="426"/>
        <w:jc w:val="both"/>
        <w:rPr>
          <w:szCs w:val="28"/>
        </w:rPr>
      </w:pPr>
      <w:r w:rsidRPr="00586699">
        <w:rPr>
          <w:szCs w:val="28"/>
        </w:rPr>
        <w:t xml:space="preserve">Сложившаяся ситуация в сфере регулярных перевозок пассажиров и багажа транспортом общего пользования оценивается Администрацией </w:t>
      </w:r>
      <w:r w:rsidR="004B6E0F">
        <w:rPr>
          <w:szCs w:val="28"/>
        </w:rPr>
        <w:t xml:space="preserve">МО ГО "Сыктывкар" </w:t>
      </w:r>
      <w:r w:rsidRPr="00586699">
        <w:rPr>
          <w:szCs w:val="28"/>
        </w:rPr>
        <w:t>как требующая совершенствования и развития.</w:t>
      </w:r>
    </w:p>
    <w:p w:rsidR="006307E1" w:rsidRPr="00586699" w:rsidRDefault="006307E1" w:rsidP="00A929A2">
      <w:pPr>
        <w:spacing w:before="120"/>
        <w:ind w:firstLine="426"/>
        <w:jc w:val="both"/>
        <w:rPr>
          <w:szCs w:val="28"/>
        </w:rPr>
      </w:pPr>
      <w:r w:rsidRPr="00586699">
        <w:rPr>
          <w:szCs w:val="28"/>
        </w:rPr>
        <w:t>В нарушение требований Федерального закона № 259-ФЗ, Федерального закона № 220-ФЗ в Документ планирования</w:t>
      </w:r>
      <w:r w:rsidR="00A929A2" w:rsidRPr="00586699">
        <w:rPr>
          <w:szCs w:val="28"/>
        </w:rPr>
        <w:t>,</w:t>
      </w:r>
      <w:r w:rsidRPr="00586699">
        <w:rPr>
          <w:szCs w:val="28"/>
        </w:rPr>
        <w:t xml:space="preserve"> </w:t>
      </w:r>
      <w:r w:rsidR="00A929A2" w:rsidRPr="00586699">
        <w:rPr>
          <w:szCs w:val="28"/>
        </w:rPr>
        <w:t>утвержденный постановлением администрации МО ГО "Сыктывкар" от 02.02.2023 № 2/357</w:t>
      </w:r>
      <w:r w:rsidRPr="00586699">
        <w:rPr>
          <w:szCs w:val="28"/>
        </w:rPr>
        <w:t>, включены мероприятия по заключению договоров фрахтования, которые не относятся к деятельности по организации регулярных перевозок.</w:t>
      </w:r>
    </w:p>
    <w:p w:rsidR="00586699" w:rsidRDefault="00586699" w:rsidP="00A929A2">
      <w:pPr>
        <w:spacing w:before="120"/>
        <w:ind w:firstLine="426"/>
        <w:jc w:val="both"/>
        <w:rPr>
          <w:szCs w:val="28"/>
        </w:rPr>
      </w:pPr>
      <w:r w:rsidRPr="00586699">
        <w:rPr>
          <w:szCs w:val="28"/>
        </w:rPr>
        <w:t>В 2023 году Администрацией проведены мероприятия, направленные на получение федеральной поддержки для обновления общественного пассажирского транспорта. В бюджете МО ГО "Сыктывкар" на 2024 год предусмотрены иные межбюджетные трансферты на приобретение подвижного состава в размере 80 940,0 тыс. рублей.</w:t>
      </w:r>
    </w:p>
    <w:p w:rsidR="00586699" w:rsidRDefault="00586699" w:rsidP="00A929A2">
      <w:pPr>
        <w:spacing w:before="120"/>
        <w:ind w:firstLine="426"/>
        <w:jc w:val="both"/>
        <w:rPr>
          <w:color w:val="1F497D" w:themeColor="text2"/>
          <w:szCs w:val="28"/>
        </w:rPr>
      </w:pPr>
      <w:r w:rsidRPr="00586699">
        <w:rPr>
          <w:szCs w:val="28"/>
        </w:rPr>
        <w:t>Фактический объем финансирования пассажирских перевозок по регулируемым тарифам значительно ниже расчетной потребности на осуществление перевозчиками данных услуг. Недофинансирование составило: в 2022 году - 201 467,0 тыс. рублей или 55,42 процента; в 2023 году - 467 675,8 тыс. рублей или 65,89 процента.</w:t>
      </w:r>
    </w:p>
    <w:p w:rsidR="006307E1" w:rsidRPr="00586699" w:rsidRDefault="006307E1" w:rsidP="00A929A2">
      <w:pPr>
        <w:spacing w:before="120"/>
        <w:ind w:firstLine="426"/>
        <w:jc w:val="both"/>
        <w:rPr>
          <w:szCs w:val="28"/>
        </w:rPr>
      </w:pPr>
      <w:r w:rsidRPr="00586699">
        <w:rPr>
          <w:szCs w:val="28"/>
        </w:rPr>
        <w:t>Изменение с 01.01.2024 вида регулярных перевозок по 11 маршрутам с нерегулируемого тарифа на регулируемый может повлечь дополнительные расходы бюджетных средств или, с учетом ограниченных финансовых ресурсов на организацию пассажирских перевозок, приведет к снижению начальной (максимальной) цены контрактов на осуществление регулярных перевозок и, как следствие, риски отказа перевозчиков от заключения таких контрактов.</w:t>
      </w:r>
    </w:p>
    <w:p w:rsidR="006307E1" w:rsidRPr="00586699" w:rsidRDefault="006307E1" w:rsidP="00A929A2">
      <w:pPr>
        <w:spacing w:before="120"/>
        <w:ind w:firstLine="426"/>
        <w:jc w:val="both"/>
        <w:rPr>
          <w:szCs w:val="28"/>
        </w:rPr>
      </w:pPr>
      <w:r w:rsidRPr="00586699">
        <w:rPr>
          <w:szCs w:val="28"/>
        </w:rPr>
        <w:t>С 01.01.2024 только 3 из 3</w:t>
      </w:r>
      <w:r w:rsidR="0029341D">
        <w:rPr>
          <w:szCs w:val="28"/>
        </w:rPr>
        <w:t>9</w:t>
      </w:r>
      <w:bookmarkStart w:id="0" w:name="_GoBack"/>
      <w:bookmarkEnd w:id="0"/>
      <w:r w:rsidRPr="00586699">
        <w:rPr>
          <w:szCs w:val="28"/>
        </w:rPr>
        <w:t xml:space="preserve"> муниципальных маршрутов осуществляются по нерегулируемым тарифам, не требующим бюджетного финансирования.</w:t>
      </w:r>
    </w:p>
    <w:p w:rsidR="006307E1" w:rsidRPr="00586699" w:rsidRDefault="006307E1" w:rsidP="00A929A2">
      <w:pPr>
        <w:spacing w:before="120"/>
        <w:ind w:firstLine="426"/>
        <w:jc w:val="both"/>
        <w:rPr>
          <w:szCs w:val="28"/>
        </w:rPr>
      </w:pPr>
      <w:r w:rsidRPr="00586699">
        <w:rPr>
          <w:szCs w:val="28"/>
        </w:rPr>
        <w:t>На протяжении 8 лет тариф за 1 км пробега в пригородном сообщении не менялся и составляет 2,35 рубля.</w:t>
      </w:r>
    </w:p>
    <w:p w:rsidR="006307E1" w:rsidRPr="00586699" w:rsidRDefault="006307E1" w:rsidP="00A929A2">
      <w:pPr>
        <w:spacing w:before="120"/>
        <w:ind w:firstLine="426"/>
        <w:jc w:val="both"/>
        <w:rPr>
          <w:szCs w:val="28"/>
        </w:rPr>
      </w:pPr>
      <w:r w:rsidRPr="00586699">
        <w:rPr>
          <w:szCs w:val="28"/>
        </w:rPr>
        <w:t>Предусмотренный пунктом 2 статьи 78 Бюджетного кодекса РФ порядок финансирования расходов, возникающих в связи с реализацией мер поддержки населения (дачные маршруты), не утверждался. Финансирование указанных расходов, в муниципальном бюджете не предусмотрено.</w:t>
      </w:r>
    </w:p>
    <w:p w:rsidR="006307E1" w:rsidRPr="00586699" w:rsidRDefault="006307E1" w:rsidP="00A929A2">
      <w:pPr>
        <w:spacing w:before="120"/>
        <w:ind w:firstLine="426"/>
        <w:jc w:val="both"/>
        <w:rPr>
          <w:szCs w:val="28"/>
        </w:rPr>
      </w:pPr>
      <w:r w:rsidRPr="00586699">
        <w:rPr>
          <w:szCs w:val="28"/>
        </w:rPr>
        <w:t xml:space="preserve">В анализируемый период мониторинг критерия ценовой доступности за 2022 год не проводился и осуществлен только в период проводимой проверки. Проверкой установлены </w:t>
      </w:r>
      <w:r w:rsidRPr="00586699">
        <w:rPr>
          <w:szCs w:val="28"/>
        </w:rPr>
        <w:lastRenderedPageBreak/>
        <w:t>многочисленные нарушения при осуществлении мониторинга критерия ценовой доступности транспортных услуг.</w:t>
      </w:r>
    </w:p>
    <w:p w:rsidR="00586699" w:rsidRPr="00586699" w:rsidRDefault="00586699" w:rsidP="00A929A2">
      <w:pPr>
        <w:spacing w:before="120"/>
        <w:ind w:firstLine="426"/>
        <w:jc w:val="both"/>
        <w:rPr>
          <w:szCs w:val="28"/>
        </w:rPr>
      </w:pPr>
      <w:r w:rsidRPr="00586699">
        <w:rPr>
          <w:szCs w:val="28"/>
        </w:rPr>
        <w:t>За анализируемый период фактические значения критерия ценовой доступности не превышали плановые ни по одному маршруту, в связи с этим правовая обязанность об изменении видов регулярных перевозок из нерегулируемых в регулируемые не возникала.</w:t>
      </w:r>
    </w:p>
    <w:p w:rsidR="006307E1" w:rsidRPr="00E66450" w:rsidRDefault="006307E1" w:rsidP="00A929A2">
      <w:pPr>
        <w:spacing w:before="120"/>
        <w:ind w:firstLine="426"/>
        <w:jc w:val="both"/>
        <w:rPr>
          <w:szCs w:val="28"/>
        </w:rPr>
      </w:pPr>
      <w:r w:rsidRPr="00E66450">
        <w:rPr>
          <w:szCs w:val="28"/>
        </w:rPr>
        <w:t>В нарушение требований Федерального закона № 220-ФЗ при организации транспортного обслуживания населения УДИТиС и Администрацией Эжвинского района заключены и оплачены договоры фрахтования на сумму 11 673,0 тыс. рублей, которые не относятся к деятельности по организации регулярных перевозок.</w:t>
      </w:r>
    </w:p>
    <w:p w:rsidR="00E66450" w:rsidRPr="00E66450" w:rsidRDefault="00E66450" w:rsidP="00E66450">
      <w:pPr>
        <w:spacing w:before="120"/>
        <w:ind w:firstLine="426"/>
        <w:jc w:val="both"/>
        <w:rPr>
          <w:szCs w:val="28"/>
        </w:rPr>
      </w:pPr>
      <w:r w:rsidRPr="00E66450">
        <w:rPr>
          <w:szCs w:val="28"/>
        </w:rPr>
        <w:t>В 2022 году осуществлены мероприятия по обследованию пассажиропотоков на муниципальных маршрутах регулярных перевозок на территории МО ГО "Сыктывкар". Обследование проведено Российским университетом транспорта.</w:t>
      </w:r>
    </w:p>
    <w:p w:rsidR="006307E1" w:rsidRPr="00E66450" w:rsidRDefault="006307E1" w:rsidP="00A929A2">
      <w:pPr>
        <w:spacing w:before="120"/>
        <w:ind w:firstLine="426"/>
        <w:jc w:val="both"/>
        <w:rPr>
          <w:szCs w:val="28"/>
        </w:rPr>
      </w:pPr>
      <w:r w:rsidRPr="00E66450">
        <w:rPr>
          <w:szCs w:val="28"/>
        </w:rPr>
        <w:t>По мнению Палаты, рекомендованный по итогам обследования переход к заключению "Брутто-контрактов", при которых собранная билетная выручка зачисляется в бюджет, возможен только при достаточном финансовом обеспечении организации пассажирских перевозок.</w:t>
      </w:r>
    </w:p>
    <w:p w:rsidR="00E66450" w:rsidRPr="00E66450" w:rsidRDefault="00B048EE" w:rsidP="00E66450">
      <w:pPr>
        <w:spacing w:before="120"/>
        <w:ind w:firstLine="426"/>
        <w:jc w:val="both"/>
        <w:rPr>
          <w:szCs w:val="28"/>
        </w:rPr>
      </w:pPr>
      <w:r>
        <w:rPr>
          <w:szCs w:val="28"/>
        </w:rPr>
        <w:t xml:space="preserve">Также </w:t>
      </w:r>
      <w:r w:rsidR="00E66450" w:rsidRPr="00E66450">
        <w:rPr>
          <w:szCs w:val="28"/>
        </w:rPr>
        <w:t>Российским университетом транспорта выраженно мнение о нецелесообразности строительства моста через р. Вычегда стоимостью свыше 700 млн. рублей для обеспечения транспортной доступности посёлков Седкыркещ и Трёхозёрка из-за небольшого количества проживающих в них жителей (около 1400 человек).</w:t>
      </w:r>
    </w:p>
    <w:p w:rsidR="006307E1" w:rsidRPr="00E66450" w:rsidRDefault="006307E1" w:rsidP="00A929A2">
      <w:pPr>
        <w:spacing w:before="120"/>
        <w:ind w:firstLine="426"/>
        <w:jc w:val="both"/>
        <w:rPr>
          <w:szCs w:val="28"/>
        </w:rPr>
      </w:pPr>
      <w:r w:rsidRPr="00E66450">
        <w:rPr>
          <w:szCs w:val="28"/>
        </w:rPr>
        <w:t>В анализируемый период средства бюджета в размере 17 335,9 тыс. рублей, в том числе субсидия из республиканского бюджета Республики Коми 16 649,1 тыс. рублей, направлены на частичную компенсацию затрат по приобретению автобусов в лизинг.</w:t>
      </w:r>
    </w:p>
    <w:p w:rsidR="006307E1" w:rsidRPr="00E66450" w:rsidRDefault="006307E1" w:rsidP="00A929A2">
      <w:pPr>
        <w:spacing w:before="120"/>
        <w:ind w:firstLine="426"/>
        <w:jc w:val="both"/>
        <w:rPr>
          <w:szCs w:val="28"/>
        </w:rPr>
      </w:pPr>
      <w:r w:rsidRPr="00E66450">
        <w:rPr>
          <w:szCs w:val="28"/>
        </w:rPr>
        <w:t>С учетом оказанной поддержки Акционерным обществом "Комиавтотранс" осуществлены лизинговые платежи по приобретению 20 автобусов марки НЕФАЗ. Окончательные расчеты по договору лизинга за счет собственных средств Общества осуществлены в 1 квартале 2023 года. Автобусы переданы в собственность Общества.</w:t>
      </w:r>
    </w:p>
    <w:p w:rsidR="006307E1" w:rsidRPr="00E66450" w:rsidRDefault="006307E1" w:rsidP="00A929A2">
      <w:pPr>
        <w:spacing w:before="120"/>
        <w:ind w:firstLine="426"/>
        <w:jc w:val="both"/>
        <w:rPr>
          <w:szCs w:val="28"/>
        </w:rPr>
      </w:pPr>
      <w:r w:rsidRPr="00E66450">
        <w:rPr>
          <w:szCs w:val="28"/>
        </w:rPr>
        <w:t>Экономия средств бюджета, полученная в процессе определения поставщиков при заключении контрактов, составила 8</w:t>
      </w:r>
      <w:r w:rsidR="00A929A2" w:rsidRPr="00E66450">
        <w:rPr>
          <w:szCs w:val="28"/>
        </w:rPr>
        <w:t> 242,8 тыс. рублей.</w:t>
      </w:r>
    </w:p>
    <w:p w:rsidR="00A964B0" w:rsidRPr="00A964B0" w:rsidRDefault="00A964B0" w:rsidP="00A964B0">
      <w:pPr>
        <w:spacing w:before="120"/>
        <w:ind w:firstLine="426"/>
        <w:jc w:val="both"/>
        <w:rPr>
          <w:szCs w:val="28"/>
        </w:rPr>
      </w:pPr>
      <w:r w:rsidRPr="00A964B0">
        <w:rPr>
          <w:szCs w:val="28"/>
        </w:rPr>
        <w:t xml:space="preserve">При осуществлении закупок </w:t>
      </w:r>
      <w:r w:rsidR="00B048EE">
        <w:rPr>
          <w:szCs w:val="28"/>
        </w:rPr>
        <w:t>Управлением дорожной инфраструктуры транспорта и связи администрации МО ГО "Сыктывкар" (далее – УДИТиС)</w:t>
      </w:r>
      <w:r w:rsidRPr="00A964B0">
        <w:rPr>
          <w:szCs w:val="28"/>
        </w:rPr>
        <w:t xml:space="preserve"> начальная (максимальная) цена контракта (далее – НМЦК) устанавливалась в пределах лимитов бюджетных обязательств, доведенных до Управления в соответствии с пунктом 3 статьи 219 Бюджетного кодекса РФ (НМЦК закупки), то есть ниже НМЦК расчетной.</w:t>
      </w:r>
    </w:p>
    <w:p w:rsidR="006307E1" w:rsidRPr="00E66450" w:rsidRDefault="006307E1" w:rsidP="00A929A2">
      <w:pPr>
        <w:spacing w:before="120"/>
        <w:ind w:firstLine="426"/>
        <w:jc w:val="both"/>
        <w:rPr>
          <w:szCs w:val="28"/>
        </w:rPr>
      </w:pPr>
      <w:r w:rsidRPr="00E66450">
        <w:rPr>
          <w:szCs w:val="28"/>
        </w:rPr>
        <w:t>Снижение НМЦК расчетной до объемов доведенных лимитов бюджетных обязательств создает финансовые ограничения в деятельности перевозчиков, в том числе связанные с обновлением автопарка. При этом государственными и муниципальными программами предусмотрены мероприятия по предоставлению субсидии на частичную компенсацию затрат по уплате лизинговых платежей.</w:t>
      </w:r>
    </w:p>
    <w:p w:rsidR="00E66450" w:rsidRDefault="006307E1" w:rsidP="00E66450">
      <w:pPr>
        <w:spacing w:before="120"/>
        <w:ind w:firstLine="426"/>
        <w:jc w:val="both"/>
        <w:rPr>
          <w:szCs w:val="28"/>
        </w:rPr>
      </w:pPr>
      <w:r w:rsidRPr="00E66450">
        <w:rPr>
          <w:szCs w:val="28"/>
        </w:rPr>
        <w:t>Достоверность расчетной НМЦК Администрации Эжвинского района вызывает сомнение, поскольку расчетная НМЦК необоснованно занижена до объемов доведенных лимитов бюджетных обязательств, а не включение в расчет НМЦК стоимости транспортного средства не соответствует единым правилам расчета, установленным Приказами Минтранса</w:t>
      </w:r>
      <w:r w:rsidR="00A929A2" w:rsidRPr="00E66450">
        <w:rPr>
          <w:szCs w:val="28"/>
        </w:rPr>
        <w:t xml:space="preserve"> от 30.05.2019 № 158; от 20.10.2021 № 351</w:t>
      </w:r>
      <w:r w:rsidRPr="00E66450">
        <w:rPr>
          <w:szCs w:val="28"/>
        </w:rPr>
        <w:t>.</w:t>
      </w:r>
    </w:p>
    <w:p w:rsidR="00E66450" w:rsidRPr="00E66450" w:rsidRDefault="00E66450" w:rsidP="00E66450">
      <w:pPr>
        <w:spacing w:before="120"/>
        <w:ind w:firstLine="426"/>
        <w:jc w:val="both"/>
        <w:rPr>
          <w:szCs w:val="28"/>
        </w:rPr>
      </w:pPr>
      <w:r w:rsidRPr="00E66450">
        <w:rPr>
          <w:szCs w:val="28"/>
        </w:rPr>
        <w:t>Завышение УДИТиС начальной (максимальной) цены контракта повлекло необоснованное расходование средств бюджета на сумму 122,2 тыс. рублей.</w:t>
      </w:r>
    </w:p>
    <w:p w:rsidR="006307E1" w:rsidRPr="00E66450" w:rsidRDefault="006307E1" w:rsidP="00A929A2">
      <w:pPr>
        <w:spacing w:before="120"/>
        <w:ind w:firstLine="426"/>
        <w:jc w:val="both"/>
        <w:rPr>
          <w:szCs w:val="28"/>
        </w:rPr>
      </w:pPr>
      <w:r w:rsidRPr="00E66450">
        <w:rPr>
          <w:szCs w:val="28"/>
        </w:rPr>
        <w:t>Установлены многочисленные факты некорректного расчета НМЦК, которые не привели к необоснованному расходованию УДИТиС бюджетных средств в связи осуществлением закупок в пределах лимитов бюджетных обязательств.</w:t>
      </w:r>
    </w:p>
    <w:p w:rsidR="00E66450" w:rsidRPr="00E66450" w:rsidRDefault="00E66450" w:rsidP="00E66450">
      <w:pPr>
        <w:spacing w:before="120"/>
        <w:ind w:firstLine="426"/>
        <w:jc w:val="both"/>
        <w:rPr>
          <w:szCs w:val="28"/>
        </w:rPr>
      </w:pPr>
      <w:r w:rsidRPr="00E66450">
        <w:rPr>
          <w:szCs w:val="28"/>
        </w:rPr>
        <w:lastRenderedPageBreak/>
        <w:t>Проведенным анализом установлено отсутствие у УДИТиС системного подхода к формированию НМКЦ закупки исходя из доведенных объемов лимитов бюджетных обязательств. Отклонение относительно НМЦК расчетной составило от уменьшения на 80 процентов до завышения на 2 процента.</w:t>
      </w:r>
    </w:p>
    <w:p w:rsidR="00E66450" w:rsidRPr="00E66450" w:rsidRDefault="00E66450" w:rsidP="00A929A2">
      <w:pPr>
        <w:spacing w:before="120"/>
        <w:ind w:firstLine="426"/>
        <w:jc w:val="both"/>
        <w:rPr>
          <w:szCs w:val="28"/>
        </w:rPr>
      </w:pPr>
      <w:r w:rsidRPr="00E66450">
        <w:rPr>
          <w:szCs w:val="28"/>
        </w:rPr>
        <w:t>Установление УДИТиС НМЦК закупки, несоразмерной объему работ, приводит к отказу потенциальных перевозчиков от участия в электронном аукционе и, как следствие, заключению контрактов с единственным поставщиком на основании коммерческого предложения перевозчика, предложившего наименьшую цену, что в отдельном случае привело к увеличению стоимости в 2,1 раза.</w:t>
      </w:r>
    </w:p>
    <w:p w:rsidR="006307E1" w:rsidRPr="00E66450" w:rsidRDefault="006307E1" w:rsidP="00A929A2">
      <w:pPr>
        <w:spacing w:before="120"/>
        <w:ind w:firstLine="426"/>
        <w:jc w:val="both"/>
        <w:rPr>
          <w:szCs w:val="28"/>
        </w:rPr>
      </w:pPr>
      <w:r w:rsidRPr="00E66450">
        <w:rPr>
          <w:szCs w:val="28"/>
        </w:rPr>
        <w:t xml:space="preserve">В нарушение требований </w:t>
      </w:r>
      <w:hyperlink r:id="rId8" w:history="1">
        <w:r w:rsidRPr="00E66450">
          <w:rPr>
            <w:szCs w:val="28"/>
          </w:rPr>
          <w:t>части 1 статьи 94</w:t>
        </w:r>
      </w:hyperlink>
      <w:r w:rsidRPr="00E66450">
        <w:rPr>
          <w:szCs w:val="28"/>
        </w:rPr>
        <w:t xml:space="preserve"> Федерального закона № 44-ФЗ в трех случаях оплата отдельных этапов контрактов производилась УДИТиС несвоевременно.</w:t>
      </w:r>
    </w:p>
    <w:p w:rsidR="006307E1" w:rsidRPr="00E66450" w:rsidRDefault="006307E1" w:rsidP="006A2CCB">
      <w:pPr>
        <w:spacing w:before="120"/>
        <w:ind w:firstLine="426"/>
        <w:jc w:val="both"/>
        <w:rPr>
          <w:szCs w:val="28"/>
        </w:rPr>
      </w:pPr>
      <w:r w:rsidRPr="00E66450">
        <w:rPr>
          <w:szCs w:val="28"/>
        </w:rPr>
        <w:t>В нарушение части 1 статьи 95 Федерального закона № 44-ФЗ УДИТиС внесены существенные изменения в условия контракта.</w:t>
      </w:r>
    </w:p>
    <w:p w:rsidR="006307E1" w:rsidRPr="00E66450" w:rsidRDefault="006307E1" w:rsidP="006A2CCB">
      <w:pPr>
        <w:spacing w:before="120"/>
        <w:ind w:firstLine="426"/>
        <w:jc w:val="both"/>
        <w:rPr>
          <w:szCs w:val="28"/>
        </w:rPr>
      </w:pPr>
      <w:r w:rsidRPr="00E66450">
        <w:rPr>
          <w:szCs w:val="28"/>
        </w:rPr>
        <w:t>Заключенный УДИТиС договор фрахтования не соответствует статье 787 Гражданского кодекса РФ (отсутствует маршрут и количество рейсов), в связи с чем невозможно подтвердить правомерность использования бюджетных средств.</w:t>
      </w:r>
    </w:p>
    <w:p w:rsidR="006307E1" w:rsidRPr="00E66450" w:rsidRDefault="006307E1" w:rsidP="006A2CCB">
      <w:pPr>
        <w:spacing w:before="120"/>
        <w:ind w:firstLine="426"/>
        <w:jc w:val="both"/>
        <w:rPr>
          <w:szCs w:val="28"/>
        </w:rPr>
      </w:pPr>
      <w:r w:rsidRPr="00E66450">
        <w:rPr>
          <w:szCs w:val="28"/>
        </w:rPr>
        <w:t>Применение УДИТиС коммерческих предложений с ценовой информацией о стоимости 1 часа транспортной работы вместо стоимости перевозки за 1 км транспортной работы при заключении договоров фрахтования в 2022 году не соответствует принципу эффективности использования бюджетных средств.</w:t>
      </w:r>
    </w:p>
    <w:p w:rsidR="00E66450" w:rsidRPr="00E66450" w:rsidRDefault="00E66450" w:rsidP="00E66450">
      <w:pPr>
        <w:spacing w:before="120"/>
        <w:ind w:firstLine="426"/>
        <w:jc w:val="both"/>
        <w:rPr>
          <w:szCs w:val="28"/>
        </w:rPr>
      </w:pPr>
      <w:r w:rsidRPr="00E66450">
        <w:rPr>
          <w:szCs w:val="28"/>
        </w:rPr>
        <w:t>УДИТиС и Администрацией Эжвинского района не осуществлялось списание штрафов, предусмотренное пунктом 3 Правил списания</w:t>
      </w:r>
      <w:r w:rsidR="00A964B0" w:rsidRPr="00A964B0">
        <w:rPr>
          <w:szCs w:val="28"/>
        </w:rPr>
        <w:t>, утвержденны</w:t>
      </w:r>
      <w:r w:rsidR="00A964B0">
        <w:rPr>
          <w:szCs w:val="28"/>
        </w:rPr>
        <w:t>х</w:t>
      </w:r>
      <w:r w:rsidR="00A964B0" w:rsidRPr="00A964B0">
        <w:rPr>
          <w:szCs w:val="28"/>
        </w:rPr>
        <w:t xml:space="preserve"> Постановлением Правительства РФ от 04.07.2018 № 783</w:t>
      </w:r>
      <w:r w:rsidRPr="00E66450">
        <w:rPr>
          <w:szCs w:val="28"/>
        </w:rPr>
        <w:t>, что влечет за собой возникновение рисков взыскания неосновательного обогащения и судебных расходов за счет средств местного бюджета.</w:t>
      </w:r>
    </w:p>
    <w:p w:rsidR="006307E1" w:rsidRPr="00A964B0" w:rsidRDefault="006307E1" w:rsidP="006A2CCB">
      <w:pPr>
        <w:spacing w:before="120"/>
        <w:ind w:firstLine="426"/>
        <w:jc w:val="both"/>
        <w:rPr>
          <w:szCs w:val="28"/>
        </w:rPr>
      </w:pPr>
      <w:r w:rsidRPr="00A964B0">
        <w:rPr>
          <w:szCs w:val="28"/>
        </w:rPr>
        <w:t>В двадцати случаях УДИТиС нарушены требования частей 2, 3 статьи 103 Федерального закона № 44-ФЗ в части несвоевременного размещения информации об исполнении контрактов в единой информационной системе.</w:t>
      </w:r>
    </w:p>
    <w:p w:rsidR="006307E1" w:rsidRPr="00A964B0" w:rsidRDefault="006307E1" w:rsidP="006A2CCB">
      <w:pPr>
        <w:spacing w:before="120"/>
        <w:ind w:firstLine="426"/>
        <w:jc w:val="both"/>
        <w:rPr>
          <w:szCs w:val="28"/>
        </w:rPr>
      </w:pPr>
      <w:r w:rsidRPr="00A964B0">
        <w:rPr>
          <w:szCs w:val="28"/>
        </w:rPr>
        <w:t>Проведенной проверкой установлены иные замечания, в том числе:</w:t>
      </w:r>
    </w:p>
    <w:p w:rsidR="006307E1" w:rsidRPr="00A964B0" w:rsidRDefault="006307E1" w:rsidP="006A2CCB">
      <w:pPr>
        <w:ind w:firstLine="425"/>
        <w:jc w:val="both"/>
        <w:rPr>
          <w:szCs w:val="28"/>
        </w:rPr>
      </w:pPr>
      <w:r w:rsidRPr="00A964B0">
        <w:rPr>
          <w:szCs w:val="28"/>
        </w:rPr>
        <w:t>- не утверждена методика определения значений показателя муниципальных программ "Количество обращений граждан по предоставлению транспортных услуг ненадлежащего качества, ед.", предусмотренная пунктом 15 Методических указаний, в связи с чем плановые значения показателя на 2022 и 2023 годы отличаются более чем в 12 раз;</w:t>
      </w:r>
    </w:p>
    <w:p w:rsidR="006307E1" w:rsidRPr="00A964B0" w:rsidRDefault="006307E1" w:rsidP="006A2CCB">
      <w:pPr>
        <w:ind w:firstLine="425"/>
        <w:jc w:val="both"/>
        <w:rPr>
          <w:szCs w:val="28"/>
        </w:rPr>
      </w:pPr>
      <w:r w:rsidRPr="00A964B0">
        <w:rPr>
          <w:szCs w:val="28"/>
        </w:rPr>
        <w:t>- несоответствие значений показателей программы "Развитие транспортной системы" значениям аналогичных показателей государственной программы Республики Коми (устранено в период проведения проверки);</w:t>
      </w:r>
    </w:p>
    <w:p w:rsidR="006307E1" w:rsidRPr="00A964B0" w:rsidRDefault="006307E1" w:rsidP="006A2CCB">
      <w:pPr>
        <w:ind w:firstLine="425"/>
        <w:jc w:val="both"/>
        <w:rPr>
          <w:szCs w:val="28"/>
        </w:rPr>
      </w:pPr>
      <w:r w:rsidRPr="00A964B0">
        <w:rPr>
          <w:szCs w:val="28"/>
        </w:rPr>
        <w:t>- плановые значения показателя муниципальных программ "доля муниципальных маршрутов регулярных перевозок пассажиров и багажа автомобильным транспортом по регулируемым тарифам…" на 2022 и 2023 год не были достигнуты, а плановое значение на 2024 год значительно занижено и требует корректировки;</w:t>
      </w:r>
    </w:p>
    <w:p w:rsidR="006307E1" w:rsidRPr="00A964B0" w:rsidRDefault="006307E1" w:rsidP="006A2CCB">
      <w:pPr>
        <w:ind w:firstLine="425"/>
        <w:jc w:val="both"/>
        <w:rPr>
          <w:szCs w:val="28"/>
        </w:rPr>
      </w:pPr>
      <w:r w:rsidRPr="00A964B0">
        <w:rPr>
          <w:szCs w:val="28"/>
        </w:rPr>
        <w:t>- в МО ГО "Сыктывкар" с 2018 года не создана единая диспетчерская служба для повышения качества предоставляемых услуг в сфере транспортного обслуживания населения города;</w:t>
      </w:r>
    </w:p>
    <w:p w:rsidR="006307E1" w:rsidRPr="00A964B0" w:rsidRDefault="006307E1" w:rsidP="006A2CCB">
      <w:pPr>
        <w:ind w:firstLine="425"/>
        <w:jc w:val="both"/>
        <w:rPr>
          <w:szCs w:val="28"/>
        </w:rPr>
      </w:pPr>
      <w:r w:rsidRPr="00A964B0">
        <w:rPr>
          <w:szCs w:val="28"/>
        </w:rPr>
        <w:t>- маршрут № 22А, включенный в Реестр муниципальных маршрутов</w:t>
      </w:r>
      <w:r w:rsidR="006A2CCB" w:rsidRPr="00A964B0">
        <w:rPr>
          <w:szCs w:val="28"/>
        </w:rPr>
        <w:t xml:space="preserve">, утвержденный постановлением администрации МО ГО "Сыктывкар" от 15.12.2016 № 12/4407, </w:t>
      </w:r>
      <w:r w:rsidRPr="00A964B0">
        <w:rPr>
          <w:szCs w:val="28"/>
        </w:rPr>
        <w:t>в 2018 году, никогда не осуществлялся;</w:t>
      </w:r>
    </w:p>
    <w:p w:rsidR="006307E1" w:rsidRPr="00A964B0" w:rsidRDefault="006307E1" w:rsidP="006A2CCB">
      <w:pPr>
        <w:ind w:firstLine="425"/>
        <w:jc w:val="both"/>
        <w:rPr>
          <w:szCs w:val="28"/>
        </w:rPr>
      </w:pPr>
      <w:r w:rsidRPr="00A964B0">
        <w:rPr>
          <w:szCs w:val="28"/>
        </w:rPr>
        <w:t>- в Документе планирования от 02.02.2023 вид регулярных перевозок по маршруту № 15 не соответствует Реестру муниципальных маршрутов, в соответствии с которым является нерегулируемым, и требует корректировки.</w:t>
      </w:r>
    </w:p>
    <w:p w:rsidR="00F93565" w:rsidRPr="00A964B0" w:rsidRDefault="006356E6" w:rsidP="009D33C2">
      <w:pPr>
        <w:pStyle w:val="af4"/>
        <w:tabs>
          <w:tab w:val="left" w:pos="324"/>
        </w:tabs>
        <w:spacing w:before="120"/>
        <w:ind w:left="-57" w:right="-57" w:firstLine="482"/>
        <w:jc w:val="both"/>
        <w:rPr>
          <w:szCs w:val="28"/>
        </w:rPr>
      </w:pPr>
      <w:r w:rsidRPr="00A964B0">
        <w:rPr>
          <w:szCs w:val="28"/>
        </w:rPr>
        <w:t>По итогам проверки подготовлены предложения по устранению выявленных нар</w:t>
      </w:r>
      <w:r w:rsidR="00A007F8" w:rsidRPr="00A964B0">
        <w:rPr>
          <w:szCs w:val="28"/>
        </w:rPr>
        <w:t xml:space="preserve">ушений и замечаний, в том числе: </w:t>
      </w:r>
    </w:p>
    <w:p w:rsidR="006307E1" w:rsidRPr="00A964B0" w:rsidRDefault="006307E1" w:rsidP="006307E1">
      <w:pPr>
        <w:pStyle w:val="af4"/>
        <w:tabs>
          <w:tab w:val="left" w:pos="317"/>
        </w:tabs>
        <w:spacing w:before="120"/>
        <w:ind w:left="-57" w:right="-57" w:firstLine="482"/>
        <w:jc w:val="both"/>
        <w:rPr>
          <w:szCs w:val="28"/>
        </w:rPr>
      </w:pPr>
      <w:r w:rsidRPr="00A964B0">
        <w:rPr>
          <w:szCs w:val="28"/>
        </w:rPr>
        <w:lastRenderedPageBreak/>
        <w:t>Включить в муниципальную программу "Развитие транспортной системы" показатель отражающий качество транспортного обслуживания населения.</w:t>
      </w:r>
    </w:p>
    <w:p w:rsidR="006307E1" w:rsidRPr="00A964B0" w:rsidRDefault="006307E1" w:rsidP="006307E1">
      <w:pPr>
        <w:pStyle w:val="af4"/>
        <w:tabs>
          <w:tab w:val="left" w:pos="317"/>
        </w:tabs>
        <w:spacing w:before="120"/>
        <w:ind w:left="-57" w:right="-57" w:firstLine="482"/>
        <w:jc w:val="both"/>
        <w:rPr>
          <w:szCs w:val="28"/>
        </w:rPr>
      </w:pPr>
      <w:r w:rsidRPr="00A964B0">
        <w:rPr>
          <w:szCs w:val="28"/>
        </w:rPr>
        <w:t>Откорректировать плановые значения показателя "Доля муниципальных маршрутов регулярных перевозок пассажиров и багажа автомобильным транспортом по регулируемым тарифам…" муниципальной программы "Развитие транспортной системы" на 2024 год.</w:t>
      </w:r>
    </w:p>
    <w:p w:rsidR="006307E1" w:rsidRPr="00A964B0" w:rsidRDefault="006307E1" w:rsidP="006307E1">
      <w:pPr>
        <w:pStyle w:val="af4"/>
        <w:tabs>
          <w:tab w:val="left" w:pos="317"/>
        </w:tabs>
        <w:spacing w:before="120"/>
        <w:ind w:left="-57" w:right="-57" w:firstLine="482"/>
        <w:jc w:val="both"/>
        <w:rPr>
          <w:szCs w:val="28"/>
        </w:rPr>
      </w:pPr>
      <w:r w:rsidRPr="00A964B0">
        <w:rPr>
          <w:szCs w:val="28"/>
        </w:rPr>
        <w:t>Утвердить методику определения значений показателя "Количество обращений граждан по предоставлению транспортных услуг ненадлежащего качества, ед." муниципальной программы "Развитие транспортной системы" с указанием источников формирования его значений.</w:t>
      </w:r>
    </w:p>
    <w:p w:rsidR="006307E1" w:rsidRPr="00A964B0" w:rsidRDefault="006307E1" w:rsidP="006307E1">
      <w:pPr>
        <w:pStyle w:val="af4"/>
        <w:tabs>
          <w:tab w:val="left" w:pos="317"/>
        </w:tabs>
        <w:spacing w:before="120"/>
        <w:ind w:left="-57" w:right="-57" w:firstLine="482"/>
        <w:jc w:val="both"/>
        <w:rPr>
          <w:szCs w:val="28"/>
        </w:rPr>
      </w:pPr>
      <w:r w:rsidRPr="00A964B0">
        <w:rPr>
          <w:szCs w:val="28"/>
        </w:rPr>
        <w:t>Исключить из Документа планирования от 02.02.2023 мероприятия, связанные с заключением договоров фрахтования.</w:t>
      </w:r>
    </w:p>
    <w:p w:rsidR="006307E1" w:rsidRPr="00A964B0" w:rsidRDefault="006307E1" w:rsidP="006307E1">
      <w:pPr>
        <w:pStyle w:val="af4"/>
        <w:tabs>
          <w:tab w:val="left" w:pos="317"/>
        </w:tabs>
        <w:spacing w:before="120"/>
        <w:ind w:left="-57" w:right="-57" w:firstLine="482"/>
        <w:jc w:val="both"/>
        <w:rPr>
          <w:szCs w:val="28"/>
        </w:rPr>
      </w:pPr>
      <w:r w:rsidRPr="00A964B0">
        <w:rPr>
          <w:szCs w:val="28"/>
        </w:rPr>
        <w:t>Откорректировать вид регулярных перевозок по маршруту № 15, отраженный в Документе планирования от 02.02.2023.</w:t>
      </w:r>
    </w:p>
    <w:p w:rsidR="006307E1" w:rsidRPr="00A964B0" w:rsidRDefault="006307E1" w:rsidP="006307E1">
      <w:pPr>
        <w:pStyle w:val="af4"/>
        <w:tabs>
          <w:tab w:val="left" w:pos="317"/>
        </w:tabs>
        <w:spacing w:before="120"/>
        <w:ind w:left="-57" w:right="-57" w:firstLine="482"/>
        <w:jc w:val="both"/>
        <w:rPr>
          <w:szCs w:val="28"/>
        </w:rPr>
      </w:pPr>
      <w:r w:rsidRPr="00A964B0">
        <w:rPr>
          <w:szCs w:val="28"/>
        </w:rPr>
        <w:t>Обеспечить целевое использование бюджетных средств при организации транспортного обслуживания населения.</w:t>
      </w:r>
    </w:p>
    <w:p w:rsidR="006307E1" w:rsidRPr="00A964B0" w:rsidRDefault="006307E1" w:rsidP="006307E1">
      <w:pPr>
        <w:pStyle w:val="af4"/>
        <w:tabs>
          <w:tab w:val="left" w:pos="317"/>
        </w:tabs>
        <w:spacing w:before="120"/>
        <w:ind w:left="-57" w:right="-57" w:firstLine="482"/>
        <w:jc w:val="both"/>
        <w:rPr>
          <w:szCs w:val="28"/>
        </w:rPr>
      </w:pPr>
      <w:r w:rsidRPr="00A964B0">
        <w:rPr>
          <w:szCs w:val="28"/>
        </w:rPr>
        <w:t>В целях обеспечения исполнения требований бюджетного законодательства при принятии решения об осуществлении мер поддержки населения своевременно утверждать порядок финансирования расходов, связанных с его реализацией.</w:t>
      </w:r>
    </w:p>
    <w:p w:rsidR="006307E1" w:rsidRPr="00A964B0" w:rsidRDefault="006307E1" w:rsidP="006307E1">
      <w:pPr>
        <w:pStyle w:val="af4"/>
        <w:tabs>
          <w:tab w:val="left" w:pos="317"/>
        </w:tabs>
        <w:spacing w:before="120"/>
        <w:ind w:left="-57" w:right="-57" w:firstLine="482"/>
        <w:jc w:val="both"/>
        <w:rPr>
          <w:szCs w:val="28"/>
        </w:rPr>
      </w:pPr>
      <w:r w:rsidRPr="00A964B0">
        <w:rPr>
          <w:szCs w:val="28"/>
        </w:rPr>
        <w:t>Обеспечить достоверное формирование расчетной НМЦК при осуществлении закупок в сфере регулярных перевозок в соответствии с порядками, утвержденными Приказами Минтранса.</w:t>
      </w:r>
    </w:p>
    <w:p w:rsidR="006307E1" w:rsidRPr="00A964B0" w:rsidRDefault="006307E1" w:rsidP="006307E1">
      <w:pPr>
        <w:pStyle w:val="af4"/>
        <w:tabs>
          <w:tab w:val="left" w:pos="317"/>
        </w:tabs>
        <w:spacing w:before="120"/>
        <w:ind w:left="-57" w:right="-57" w:firstLine="482"/>
        <w:jc w:val="both"/>
        <w:rPr>
          <w:szCs w:val="28"/>
        </w:rPr>
      </w:pPr>
      <w:r w:rsidRPr="00A964B0">
        <w:rPr>
          <w:szCs w:val="28"/>
        </w:rPr>
        <w:t xml:space="preserve">В целях обеспечения единообразного системного подхода к формированию НМЦК исходя из доведенных лимитов бюджетных обязательств, рассмотреть вопрос </w:t>
      </w:r>
      <w:r w:rsidR="00A964B0" w:rsidRPr="00A964B0">
        <w:rPr>
          <w:szCs w:val="28"/>
        </w:rPr>
        <w:t>об утверждении</w:t>
      </w:r>
      <w:r w:rsidRPr="00A964B0">
        <w:rPr>
          <w:szCs w:val="28"/>
        </w:rPr>
        <w:t xml:space="preserve"> порядка распределения лимитов бюджетных обязательств пропорционально расчетной НМЦК для каждого маршрута.</w:t>
      </w:r>
    </w:p>
    <w:p w:rsidR="006307E1" w:rsidRPr="00A964B0" w:rsidRDefault="006307E1" w:rsidP="006307E1">
      <w:pPr>
        <w:pStyle w:val="af4"/>
        <w:tabs>
          <w:tab w:val="left" w:pos="324"/>
        </w:tabs>
        <w:spacing w:before="120"/>
        <w:ind w:left="-57" w:right="-57" w:firstLine="482"/>
        <w:jc w:val="both"/>
        <w:rPr>
          <w:szCs w:val="28"/>
        </w:rPr>
      </w:pPr>
      <w:r w:rsidRPr="00A964B0">
        <w:rPr>
          <w:szCs w:val="28"/>
        </w:rPr>
        <w:t>Принять меры по устранению иных замечаний.</w:t>
      </w:r>
    </w:p>
    <w:p w:rsidR="00D35AD6" w:rsidRPr="00A964B0" w:rsidRDefault="00162676" w:rsidP="009D33C2">
      <w:pPr>
        <w:pStyle w:val="af4"/>
        <w:tabs>
          <w:tab w:val="left" w:pos="324"/>
        </w:tabs>
        <w:spacing w:before="120"/>
        <w:ind w:left="-57" w:right="-57" w:firstLine="482"/>
        <w:jc w:val="both"/>
        <w:rPr>
          <w:szCs w:val="28"/>
        </w:rPr>
      </w:pPr>
      <w:r w:rsidRPr="00A964B0">
        <w:rPr>
          <w:szCs w:val="28"/>
        </w:rPr>
        <w:t xml:space="preserve">По итогам проверки </w:t>
      </w:r>
      <w:r w:rsidR="002727C3" w:rsidRPr="00A964B0">
        <w:rPr>
          <w:szCs w:val="28"/>
        </w:rPr>
        <w:t xml:space="preserve">направлены </w:t>
      </w:r>
      <w:r w:rsidR="006307E1" w:rsidRPr="00A964B0">
        <w:rPr>
          <w:szCs w:val="28"/>
        </w:rPr>
        <w:t xml:space="preserve">предписание и </w:t>
      </w:r>
      <w:r w:rsidR="002727C3" w:rsidRPr="00A964B0">
        <w:rPr>
          <w:szCs w:val="28"/>
        </w:rPr>
        <w:t xml:space="preserve">представления </w:t>
      </w:r>
      <w:r w:rsidRPr="00A964B0">
        <w:rPr>
          <w:szCs w:val="28"/>
        </w:rPr>
        <w:t xml:space="preserve">в адрес </w:t>
      </w:r>
      <w:r w:rsidR="00494FA3" w:rsidRPr="00A964B0">
        <w:rPr>
          <w:szCs w:val="28"/>
        </w:rPr>
        <w:t>главы МО ГО "Сыктывкар" – руководителя администрации</w:t>
      </w:r>
      <w:r w:rsidR="00D83D06" w:rsidRPr="00A964B0">
        <w:rPr>
          <w:szCs w:val="28"/>
        </w:rPr>
        <w:t>,</w:t>
      </w:r>
      <w:r w:rsidR="002727C3" w:rsidRPr="00A964B0">
        <w:rPr>
          <w:szCs w:val="28"/>
        </w:rPr>
        <w:t xml:space="preserve"> </w:t>
      </w:r>
      <w:r w:rsidR="003D4D3A" w:rsidRPr="00A964B0">
        <w:rPr>
          <w:szCs w:val="28"/>
        </w:rPr>
        <w:t>УДИТиС</w:t>
      </w:r>
      <w:r w:rsidR="006307E1" w:rsidRPr="00A964B0">
        <w:rPr>
          <w:szCs w:val="28"/>
        </w:rPr>
        <w:t>.</w:t>
      </w:r>
      <w:r w:rsidR="002727C3" w:rsidRPr="00A964B0">
        <w:rPr>
          <w:szCs w:val="28"/>
        </w:rPr>
        <w:t xml:space="preserve"> </w:t>
      </w:r>
      <w:r w:rsidR="00E55F47">
        <w:rPr>
          <w:szCs w:val="28"/>
        </w:rPr>
        <w:t>Отдельная и</w:t>
      </w:r>
      <w:r w:rsidR="003C1D72" w:rsidRPr="00A964B0">
        <w:rPr>
          <w:szCs w:val="28"/>
        </w:rPr>
        <w:t>нформация о результатах</w:t>
      </w:r>
      <w:r w:rsidRPr="00A964B0">
        <w:rPr>
          <w:szCs w:val="28"/>
        </w:rPr>
        <w:t xml:space="preserve"> проверки направлен</w:t>
      </w:r>
      <w:r w:rsidR="003C1D72" w:rsidRPr="00A964B0">
        <w:rPr>
          <w:szCs w:val="28"/>
        </w:rPr>
        <w:t>а</w:t>
      </w:r>
      <w:r w:rsidRPr="00A964B0">
        <w:rPr>
          <w:szCs w:val="28"/>
        </w:rPr>
        <w:t xml:space="preserve"> в Управление Федеральной антимонопольной службы по Республике Коми</w:t>
      </w:r>
      <w:r w:rsidR="006307E1" w:rsidRPr="00A964B0">
        <w:rPr>
          <w:szCs w:val="28"/>
        </w:rPr>
        <w:t xml:space="preserve">, </w:t>
      </w:r>
      <w:r w:rsidR="006307E1" w:rsidRPr="00A964B0">
        <w:rPr>
          <w:rFonts w:eastAsia="Calibri"/>
          <w:spacing w:val="-10"/>
        </w:rPr>
        <w:t>в Управление министерства внутренних дел России по г. Сыктывкару</w:t>
      </w:r>
      <w:r w:rsidR="00E55F47">
        <w:rPr>
          <w:rFonts w:eastAsia="Calibri"/>
          <w:spacing w:val="-10"/>
        </w:rPr>
        <w:t>, в Прокуратуру г. </w:t>
      </w:r>
      <w:r w:rsidR="006307E1" w:rsidRPr="00A964B0">
        <w:rPr>
          <w:rFonts w:eastAsia="Calibri"/>
          <w:spacing w:val="-10"/>
        </w:rPr>
        <w:t>Сыктывкара.</w:t>
      </w:r>
    </w:p>
    <w:sectPr w:rsidR="00D35AD6" w:rsidRPr="00A964B0" w:rsidSect="000427B4">
      <w:headerReference w:type="even" r:id="rId9"/>
      <w:headerReference w:type="default" r:id="rId10"/>
      <w:footerReference w:type="default" r:id="rId11"/>
      <w:footerReference w:type="first" r:id="rId12"/>
      <w:pgSz w:w="11906" w:h="16838"/>
      <w:pgMar w:top="794"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B5" w:rsidRDefault="008170B5">
      <w:r>
        <w:separator/>
      </w:r>
    </w:p>
  </w:endnote>
  <w:endnote w:type="continuationSeparator" w:id="0">
    <w:p w:rsidR="008170B5" w:rsidRDefault="0081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94FA3" w:rsidRPr="006F4803" w:rsidRDefault="00494FA3"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94FA3" w:rsidRDefault="00494F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B5" w:rsidRDefault="008170B5">
      <w:r>
        <w:separator/>
      </w:r>
    </w:p>
  </w:footnote>
  <w:footnote w:type="continuationSeparator" w:id="0">
    <w:p w:rsidR="008170B5" w:rsidRDefault="00817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94FA3" w:rsidRDefault="00494F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9341D">
      <w:rPr>
        <w:rStyle w:val="a6"/>
        <w:noProof/>
      </w:rPr>
      <w:t>4</w:t>
    </w:r>
    <w:r>
      <w:rPr>
        <w:rStyle w:val="a6"/>
      </w:rPr>
      <w:fldChar w:fldCharType="end"/>
    </w:r>
  </w:p>
  <w:p w:rsidR="00494FA3" w:rsidRDefault="00494F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21AA2"/>
    <w:multiLevelType w:val="hybridMultilevel"/>
    <w:tmpl w:val="B6E62C14"/>
    <w:lvl w:ilvl="0" w:tplc="5C02488A">
      <w:start w:val="1"/>
      <w:numFmt w:val="decimal"/>
      <w:lvlText w:val="%1."/>
      <w:lvlJc w:val="left"/>
      <w:pPr>
        <w:ind w:left="234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23FC6"/>
    <w:multiLevelType w:val="hybridMultilevel"/>
    <w:tmpl w:val="882A27F6"/>
    <w:lvl w:ilvl="0" w:tplc="FD2AE27C">
      <w:start w:val="1"/>
      <w:numFmt w:val="bullet"/>
      <w:lvlText w:val=""/>
      <w:lvlJc w:val="left"/>
      <w:pPr>
        <w:ind w:left="51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4E4F"/>
    <w:multiLevelType w:val="hybridMultilevel"/>
    <w:tmpl w:val="F1445EF2"/>
    <w:lvl w:ilvl="0" w:tplc="F17EF5A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5"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512D1D"/>
    <w:multiLevelType w:val="hybridMultilevel"/>
    <w:tmpl w:val="9B0ECE8E"/>
    <w:lvl w:ilvl="0" w:tplc="B25AD740">
      <w:start w:val="1"/>
      <w:numFmt w:val="decimal"/>
      <w:lvlText w:val="%1."/>
      <w:lvlJc w:val="left"/>
      <w:pPr>
        <w:ind w:left="6740"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9" w15:restartNumberingAfterBreak="0">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20" w15:restartNumberingAfterBreak="0">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B711141"/>
    <w:multiLevelType w:val="multilevel"/>
    <w:tmpl w:val="598CB300"/>
    <w:lvl w:ilvl="0">
      <w:start w:val="1"/>
      <w:numFmt w:val="decimal"/>
      <w:lvlText w:val="%1."/>
      <w:lvlJc w:val="left"/>
      <w:pPr>
        <w:ind w:left="1422" w:hanging="855"/>
      </w:pPr>
      <w:rPr>
        <w:rFonts w:hint="default"/>
      </w:rPr>
    </w:lvl>
    <w:lvl w:ilvl="1">
      <w:start w:val="1"/>
      <w:numFmt w:val="decimal"/>
      <w:isLgl/>
      <w:lvlText w:val="%2."/>
      <w:lvlJc w:val="left"/>
      <w:pPr>
        <w:ind w:left="5747" w:hanging="360"/>
      </w:pPr>
      <w:rPr>
        <w:rFonts w:ascii="Times New Roman" w:eastAsia="Times New Roman" w:hAnsi="Times New Roman" w:cs="Times New Roman"/>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6" w15:restartNumberingAfterBreak="0">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7"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25"/>
  </w:num>
  <w:num w:numId="5">
    <w:abstractNumId w:val="21"/>
  </w:num>
  <w:num w:numId="6">
    <w:abstractNumId w:val="27"/>
  </w:num>
  <w:num w:numId="7">
    <w:abstractNumId w:val="15"/>
  </w:num>
  <w:num w:numId="8">
    <w:abstractNumId w:val="0"/>
  </w:num>
  <w:num w:numId="9">
    <w:abstractNumId w:val="14"/>
  </w:num>
  <w:num w:numId="10">
    <w:abstractNumId w:val="23"/>
  </w:num>
  <w:num w:numId="11">
    <w:abstractNumId w:val="4"/>
  </w:num>
  <w:num w:numId="12">
    <w:abstractNumId w:val="6"/>
  </w:num>
  <w:num w:numId="13">
    <w:abstractNumId w:val="1"/>
  </w:num>
  <w:num w:numId="14">
    <w:abstractNumId w:val="3"/>
  </w:num>
  <w:num w:numId="15">
    <w:abstractNumId w:val="13"/>
  </w:num>
  <w:num w:numId="16">
    <w:abstractNumId w:val="17"/>
  </w:num>
  <w:num w:numId="17">
    <w:abstractNumId w:val="9"/>
  </w:num>
  <w:num w:numId="18">
    <w:abstractNumId w:val="10"/>
  </w:num>
  <w:num w:numId="19">
    <w:abstractNumId w:val="11"/>
  </w:num>
  <w:num w:numId="20">
    <w:abstractNumId w:val="19"/>
  </w:num>
  <w:num w:numId="21">
    <w:abstractNumId w:val="26"/>
  </w:num>
  <w:num w:numId="22">
    <w:abstractNumId w:val="24"/>
  </w:num>
  <w:num w:numId="23">
    <w:abstractNumId w:val="20"/>
  </w:num>
  <w:num w:numId="24">
    <w:abstractNumId w:val="7"/>
  </w:num>
  <w:num w:numId="25">
    <w:abstractNumId w:val="22"/>
  </w:num>
  <w:num w:numId="26">
    <w:abstractNumId w:val="5"/>
  </w:num>
  <w:num w:numId="27">
    <w:abstractNumId w:val="16"/>
  </w:num>
  <w:num w:numId="28">
    <w:abstractNumId w:val="12"/>
  </w:num>
  <w:num w:numId="2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E98"/>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884"/>
    <w:rsid w:val="00045B17"/>
    <w:rsid w:val="00045F6A"/>
    <w:rsid w:val="00046A78"/>
    <w:rsid w:val="00046AAC"/>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C8"/>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4E1"/>
    <w:rsid w:val="000E55FE"/>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0F764F"/>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7B3"/>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676"/>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5718"/>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6E2"/>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986"/>
    <w:rsid w:val="00266B54"/>
    <w:rsid w:val="002673C7"/>
    <w:rsid w:val="0026761B"/>
    <w:rsid w:val="00267B21"/>
    <w:rsid w:val="00267CEF"/>
    <w:rsid w:val="00267E1A"/>
    <w:rsid w:val="002702A7"/>
    <w:rsid w:val="002715C0"/>
    <w:rsid w:val="002726DC"/>
    <w:rsid w:val="002727C3"/>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41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364"/>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06C"/>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2E7"/>
    <w:rsid w:val="00306BAF"/>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620"/>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41A"/>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57EDE"/>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1D72"/>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4D3A"/>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2B0"/>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D32"/>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4FA3"/>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E0F"/>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D33"/>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17DD6"/>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0D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1DF"/>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6699"/>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5DF"/>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01C"/>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0FD"/>
    <w:rsid w:val="0061711C"/>
    <w:rsid w:val="00617982"/>
    <w:rsid w:val="00617C46"/>
    <w:rsid w:val="006204FD"/>
    <w:rsid w:val="00620D7B"/>
    <w:rsid w:val="006219A0"/>
    <w:rsid w:val="00622D03"/>
    <w:rsid w:val="00622F1D"/>
    <w:rsid w:val="00623748"/>
    <w:rsid w:val="0062398A"/>
    <w:rsid w:val="00623E85"/>
    <w:rsid w:val="006243CC"/>
    <w:rsid w:val="00624672"/>
    <w:rsid w:val="00624CC4"/>
    <w:rsid w:val="0062575B"/>
    <w:rsid w:val="00625D9E"/>
    <w:rsid w:val="006262A5"/>
    <w:rsid w:val="006271E8"/>
    <w:rsid w:val="00627BF7"/>
    <w:rsid w:val="00627FDD"/>
    <w:rsid w:val="00627FF4"/>
    <w:rsid w:val="006302C8"/>
    <w:rsid w:val="006307E1"/>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6E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2F93"/>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6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2CCB"/>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4FA"/>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5480"/>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1FA"/>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181"/>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302"/>
    <w:rsid w:val="007C5CD2"/>
    <w:rsid w:val="007C6612"/>
    <w:rsid w:val="007C6A26"/>
    <w:rsid w:val="007C6A83"/>
    <w:rsid w:val="007C6AE2"/>
    <w:rsid w:val="007C78D7"/>
    <w:rsid w:val="007C7FD1"/>
    <w:rsid w:val="007D0765"/>
    <w:rsid w:val="007D0AE4"/>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CF9"/>
    <w:rsid w:val="0080054F"/>
    <w:rsid w:val="008018E2"/>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8FF"/>
    <w:rsid w:val="00814D53"/>
    <w:rsid w:val="00814EB3"/>
    <w:rsid w:val="00814EC5"/>
    <w:rsid w:val="00815043"/>
    <w:rsid w:val="008151D1"/>
    <w:rsid w:val="008170B5"/>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4ADA"/>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64D"/>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638"/>
    <w:rsid w:val="00871C01"/>
    <w:rsid w:val="00871E70"/>
    <w:rsid w:val="0087268D"/>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1862"/>
    <w:rsid w:val="008824B1"/>
    <w:rsid w:val="0088254E"/>
    <w:rsid w:val="0088258C"/>
    <w:rsid w:val="00883BB1"/>
    <w:rsid w:val="00883C9E"/>
    <w:rsid w:val="00883CA6"/>
    <w:rsid w:val="00884903"/>
    <w:rsid w:val="00884EAA"/>
    <w:rsid w:val="008852D5"/>
    <w:rsid w:val="00885348"/>
    <w:rsid w:val="00885650"/>
    <w:rsid w:val="00885803"/>
    <w:rsid w:val="00887301"/>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1C7A"/>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1C2"/>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BB5"/>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9CD"/>
    <w:rsid w:val="00990F9C"/>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B2A"/>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3C2"/>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7F8"/>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1F1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74D"/>
    <w:rsid w:val="00A45C8D"/>
    <w:rsid w:val="00A461F5"/>
    <w:rsid w:val="00A47635"/>
    <w:rsid w:val="00A478B8"/>
    <w:rsid w:val="00A47E91"/>
    <w:rsid w:val="00A50384"/>
    <w:rsid w:val="00A50642"/>
    <w:rsid w:val="00A52076"/>
    <w:rsid w:val="00A527AA"/>
    <w:rsid w:val="00A52AFB"/>
    <w:rsid w:val="00A54CE0"/>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1EDB"/>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29A2"/>
    <w:rsid w:val="00A940F6"/>
    <w:rsid w:val="00A948E6"/>
    <w:rsid w:val="00A95181"/>
    <w:rsid w:val="00A959A1"/>
    <w:rsid w:val="00A95F9E"/>
    <w:rsid w:val="00A96404"/>
    <w:rsid w:val="00A964B0"/>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3E31"/>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2D63"/>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429"/>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69F4"/>
    <w:rsid w:val="00AF703D"/>
    <w:rsid w:val="00AF72B9"/>
    <w:rsid w:val="00AF796F"/>
    <w:rsid w:val="00AF7CF1"/>
    <w:rsid w:val="00B0023E"/>
    <w:rsid w:val="00B01C89"/>
    <w:rsid w:val="00B01F96"/>
    <w:rsid w:val="00B02005"/>
    <w:rsid w:val="00B02379"/>
    <w:rsid w:val="00B0278A"/>
    <w:rsid w:val="00B027E2"/>
    <w:rsid w:val="00B02C55"/>
    <w:rsid w:val="00B0346A"/>
    <w:rsid w:val="00B03A8D"/>
    <w:rsid w:val="00B0443E"/>
    <w:rsid w:val="00B048E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29C"/>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3B1"/>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071"/>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4143"/>
    <w:rsid w:val="00C94C42"/>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7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296"/>
    <w:rsid w:val="00D008FF"/>
    <w:rsid w:val="00D0127B"/>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994"/>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57B7"/>
    <w:rsid w:val="00D265C9"/>
    <w:rsid w:val="00D27843"/>
    <w:rsid w:val="00D30381"/>
    <w:rsid w:val="00D30F63"/>
    <w:rsid w:val="00D310F3"/>
    <w:rsid w:val="00D313A3"/>
    <w:rsid w:val="00D318E4"/>
    <w:rsid w:val="00D32822"/>
    <w:rsid w:val="00D33986"/>
    <w:rsid w:val="00D341A3"/>
    <w:rsid w:val="00D34823"/>
    <w:rsid w:val="00D34F9B"/>
    <w:rsid w:val="00D35624"/>
    <w:rsid w:val="00D35A00"/>
    <w:rsid w:val="00D35AD6"/>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0AD9"/>
    <w:rsid w:val="00D610BD"/>
    <w:rsid w:val="00D62A47"/>
    <w:rsid w:val="00D62E7D"/>
    <w:rsid w:val="00D64E5B"/>
    <w:rsid w:val="00D65018"/>
    <w:rsid w:val="00D65200"/>
    <w:rsid w:val="00D6523A"/>
    <w:rsid w:val="00D6533D"/>
    <w:rsid w:val="00D6690D"/>
    <w:rsid w:val="00D67143"/>
    <w:rsid w:val="00D67640"/>
    <w:rsid w:val="00D67726"/>
    <w:rsid w:val="00D67D4E"/>
    <w:rsid w:val="00D7014E"/>
    <w:rsid w:val="00D70A36"/>
    <w:rsid w:val="00D70BAA"/>
    <w:rsid w:val="00D710F7"/>
    <w:rsid w:val="00D717E1"/>
    <w:rsid w:val="00D7293A"/>
    <w:rsid w:val="00D72B21"/>
    <w:rsid w:val="00D72B7C"/>
    <w:rsid w:val="00D7326A"/>
    <w:rsid w:val="00D739C8"/>
    <w:rsid w:val="00D73A6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06"/>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4B0"/>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5F47"/>
    <w:rsid w:val="00E56829"/>
    <w:rsid w:val="00E606AB"/>
    <w:rsid w:val="00E6250B"/>
    <w:rsid w:val="00E626C7"/>
    <w:rsid w:val="00E631FD"/>
    <w:rsid w:val="00E63988"/>
    <w:rsid w:val="00E64CB9"/>
    <w:rsid w:val="00E650E7"/>
    <w:rsid w:val="00E65364"/>
    <w:rsid w:val="00E656FE"/>
    <w:rsid w:val="00E6577A"/>
    <w:rsid w:val="00E659FB"/>
    <w:rsid w:val="00E65D6D"/>
    <w:rsid w:val="00E66450"/>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593"/>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493F"/>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4D14"/>
    <w:rsid w:val="00EB52C7"/>
    <w:rsid w:val="00EB57A7"/>
    <w:rsid w:val="00EB5A2C"/>
    <w:rsid w:val="00EB5C51"/>
    <w:rsid w:val="00EB62BB"/>
    <w:rsid w:val="00EB667E"/>
    <w:rsid w:val="00EB7151"/>
    <w:rsid w:val="00EB7A0F"/>
    <w:rsid w:val="00EB7FA9"/>
    <w:rsid w:val="00EC001E"/>
    <w:rsid w:val="00EC02B9"/>
    <w:rsid w:val="00EC0300"/>
    <w:rsid w:val="00EC0358"/>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03"/>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14B"/>
    <w:rsid w:val="00F544E4"/>
    <w:rsid w:val="00F54519"/>
    <w:rsid w:val="00F5453A"/>
    <w:rsid w:val="00F546C8"/>
    <w:rsid w:val="00F552F8"/>
    <w:rsid w:val="00F55B82"/>
    <w:rsid w:val="00F56A8F"/>
    <w:rsid w:val="00F56B8E"/>
    <w:rsid w:val="00F56DAF"/>
    <w:rsid w:val="00F6038B"/>
    <w:rsid w:val="00F608A2"/>
    <w:rsid w:val="00F60E1F"/>
    <w:rsid w:val="00F61801"/>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19F"/>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65"/>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A31"/>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30648-6FEB-4C58-BA5A-27D6BEC6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75C7C97FC446ED8E6D0DAACF8103976C26D2E451AC9780BAD915A3DCB0F1B2CF824AF4C97BD2ECFE81A6B2AEB5D6B178C1EF54C301A20TDn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BD7A-99CF-4384-AC34-2C6B9B11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2</cp:revision>
  <cp:lastPrinted>2024-01-24T06:31:00Z</cp:lastPrinted>
  <dcterms:created xsi:type="dcterms:W3CDTF">2024-01-24T12:58:00Z</dcterms:created>
  <dcterms:modified xsi:type="dcterms:W3CDTF">2024-01-24T12:58:00Z</dcterms:modified>
</cp:coreProperties>
</file>