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4F" w:rsidRPr="009333DD" w:rsidRDefault="001A294F" w:rsidP="001A294F">
      <w:pPr>
        <w:pStyle w:val="ConsPlusNormal"/>
        <w:ind w:right="72" w:firstLine="0"/>
        <w:jc w:val="center"/>
        <w:rPr>
          <w:rFonts w:ascii="Times New Roman" w:hAnsi="Times New Roman" w:cs="Times New Roman"/>
          <w:b/>
          <w:sz w:val="24"/>
          <w:szCs w:val="24"/>
        </w:rPr>
      </w:pPr>
      <w:r w:rsidRPr="009333DD">
        <w:rPr>
          <w:rFonts w:ascii="Times New Roman" w:hAnsi="Times New Roman" w:cs="Times New Roman"/>
          <w:b/>
          <w:sz w:val="24"/>
          <w:szCs w:val="24"/>
        </w:rPr>
        <w:t>Доклад</w:t>
      </w:r>
    </w:p>
    <w:p w:rsidR="001A294F" w:rsidRPr="009333DD" w:rsidRDefault="001A294F" w:rsidP="001A294F">
      <w:pPr>
        <w:pStyle w:val="ConsPlusNormal"/>
        <w:ind w:right="72" w:firstLine="0"/>
        <w:jc w:val="center"/>
        <w:rPr>
          <w:rFonts w:ascii="Times New Roman" w:hAnsi="Times New Roman" w:cs="Times New Roman"/>
          <w:sz w:val="24"/>
          <w:szCs w:val="24"/>
        </w:rPr>
      </w:pPr>
      <w:r w:rsidRPr="009333DD">
        <w:rPr>
          <w:rFonts w:ascii="Times New Roman" w:hAnsi="Times New Roman" w:cs="Times New Roman"/>
          <w:sz w:val="24"/>
          <w:szCs w:val="24"/>
        </w:rPr>
        <w:t>главы муниципального образования городского округа «Сыктывкар» - руководителя администрации о результатах своей деятельности и деятельности администрации муниципального образования городского округа «Сыктывкар» за 202</w:t>
      </w:r>
      <w:r>
        <w:rPr>
          <w:rFonts w:ascii="Times New Roman" w:hAnsi="Times New Roman" w:cs="Times New Roman"/>
          <w:sz w:val="24"/>
          <w:szCs w:val="24"/>
        </w:rPr>
        <w:t>2</w:t>
      </w:r>
      <w:r w:rsidRPr="009333DD">
        <w:rPr>
          <w:rFonts w:ascii="Times New Roman" w:hAnsi="Times New Roman" w:cs="Times New Roman"/>
          <w:sz w:val="24"/>
          <w:szCs w:val="24"/>
        </w:rPr>
        <w:t xml:space="preserve"> год </w:t>
      </w:r>
    </w:p>
    <w:p w:rsidR="001A294F" w:rsidRDefault="001A294F" w:rsidP="00757E46">
      <w:pPr>
        <w:jc w:val="center"/>
        <w:rPr>
          <w:rFonts w:eastAsia="Times New Roman"/>
        </w:rPr>
      </w:pPr>
    </w:p>
    <w:p w:rsidR="00757E46" w:rsidRDefault="001A294F" w:rsidP="00757E46">
      <w:pPr>
        <w:jc w:val="center"/>
        <w:rPr>
          <w:rFonts w:eastAsia="Times New Roman"/>
        </w:rPr>
      </w:pPr>
      <w:r>
        <w:rPr>
          <w:rFonts w:eastAsia="Times New Roman"/>
        </w:rPr>
        <w:t>«</w:t>
      </w:r>
      <w:r w:rsidR="00757E46" w:rsidRPr="00757E46">
        <w:rPr>
          <w:rFonts w:eastAsia="Times New Roman"/>
        </w:rPr>
        <w:t>Показатели эффективности и результативности деятельности главы муниципального образования городского округа «Сыктывкар» - руководителя администрации</w:t>
      </w:r>
    </w:p>
    <w:p w:rsidR="008C3A24" w:rsidRDefault="008C3A24" w:rsidP="00757E46">
      <w:pPr>
        <w:jc w:val="center"/>
        <w:rPr>
          <w:rFonts w:eastAsia="Times New Roman"/>
        </w:rPr>
      </w:pPr>
    </w:p>
    <w:tbl>
      <w:tblPr>
        <w:tblW w:w="10632" w:type="dxa"/>
        <w:tblInd w:w="-601" w:type="dxa"/>
        <w:tblLayout w:type="fixed"/>
        <w:tblLook w:val="04A0" w:firstRow="1" w:lastRow="0" w:firstColumn="1" w:lastColumn="0" w:noHBand="0" w:noVBand="1"/>
      </w:tblPr>
      <w:tblGrid>
        <w:gridCol w:w="567"/>
        <w:gridCol w:w="6521"/>
        <w:gridCol w:w="1276"/>
        <w:gridCol w:w="1134"/>
        <w:gridCol w:w="1134"/>
      </w:tblGrid>
      <w:tr w:rsidR="00757E46" w:rsidRPr="000A12DC" w:rsidTr="00757E46">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E46" w:rsidRPr="000A12DC" w:rsidRDefault="00757E46" w:rsidP="00685A59">
            <w:pPr>
              <w:jc w:val="center"/>
              <w:rPr>
                <w:rFonts w:eastAsia="Times New Roman"/>
                <w:b/>
                <w:bCs/>
                <w:sz w:val="20"/>
                <w:szCs w:val="20"/>
              </w:rPr>
            </w:pPr>
            <w:r w:rsidRPr="000A12DC">
              <w:rPr>
                <w:rFonts w:eastAsia="Times New Roman"/>
                <w:b/>
                <w:bCs/>
                <w:sz w:val="20"/>
                <w:szCs w:val="20"/>
              </w:rPr>
              <w:t>№</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E46" w:rsidRPr="000A12DC" w:rsidRDefault="00757E46" w:rsidP="00685A59">
            <w:pPr>
              <w:jc w:val="center"/>
              <w:rPr>
                <w:rFonts w:eastAsia="Times New Roman"/>
                <w:b/>
                <w:bCs/>
                <w:sz w:val="20"/>
                <w:szCs w:val="20"/>
              </w:rPr>
            </w:pPr>
            <w:r w:rsidRPr="000A12DC">
              <w:rPr>
                <w:rFonts w:eastAsia="Times New Roman"/>
                <w:b/>
                <w:bCs/>
                <w:sz w:val="20"/>
                <w:szCs w:val="20"/>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E46" w:rsidRPr="000A12DC" w:rsidRDefault="00757E46" w:rsidP="00685A59">
            <w:pPr>
              <w:jc w:val="center"/>
              <w:rPr>
                <w:rFonts w:eastAsia="Times New Roman"/>
                <w:b/>
                <w:bCs/>
                <w:sz w:val="20"/>
                <w:szCs w:val="20"/>
              </w:rPr>
            </w:pPr>
            <w:r w:rsidRPr="000A12DC">
              <w:rPr>
                <w:rFonts w:eastAsia="Times New Roman"/>
                <w:b/>
                <w:bCs/>
                <w:sz w:val="20"/>
                <w:szCs w:val="20"/>
              </w:rPr>
              <w:t>Единица измерения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7E46" w:rsidRPr="00AE6DE1" w:rsidRDefault="009E04C4" w:rsidP="00AE6DE1">
            <w:pPr>
              <w:jc w:val="center"/>
              <w:rPr>
                <w:rFonts w:eastAsia="Times New Roman"/>
                <w:sz w:val="20"/>
                <w:szCs w:val="20"/>
                <w:lang w:val="en-US"/>
              </w:rPr>
            </w:pPr>
            <w:r w:rsidRPr="000A12DC">
              <w:rPr>
                <w:rFonts w:eastAsia="Times New Roman"/>
                <w:sz w:val="20"/>
                <w:szCs w:val="20"/>
              </w:rPr>
              <w:t>20</w:t>
            </w:r>
            <w:r w:rsidR="00746336">
              <w:rPr>
                <w:rFonts w:eastAsia="Times New Roman"/>
                <w:sz w:val="20"/>
                <w:szCs w:val="20"/>
              </w:rPr>
              <w:t>2</w:t>
            </w:r>
            <w:r w:rsidR="00AE6DE1">
              <w:rPr>
                <w:rFonts w:eastAsia="Times New Roman"/>
                <w:sz w:val="20"/>
                <w:szCs w:val="20"/>
                <w:lang w:val="en-US"/>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7E46" w:rsidRPr="000A12DC" w:rsidRDefault="009E04C4" w:rsidP="00C67FB3">
            <w:pPr>
              <w:jc w:val="center"/>
              <w:rPr>
                <w:rFonts w:eastAsia="Times New Roman"/>
                <w:sz w:val="20"/>
                <w:szCs w:val="20"/>
              </w:rPr>
            </w:pPr>
            <w:r>
              <w:rPr>
                <w:rFonts w:eastAsia="Times New Roman"/>
                <w:sz w:val="20"/>
                <w:szCs w:val="20"/>
              </w:rPr>
              <w:t>202</w:t>
            </w:r>
            <w:r w:rsidR="00C67FB3">
              <w:rPr>
                <w:rFonts w:eastAsia="Times New Roman"/>
                <w:sz w:val="20"/>
                <w:szCs w:val="20"/>
              </w:rPr>
              <w:t>2</w:t>
            </w:r>
          </w:p>
        </w:tc>
      </w:tr>
      <w:tr w:rsidR="00757E46" w:rsidRPr="000A12DC" w:rsidTr="00757E46">
        <w:trPr>
          <w:trHeight w:val="2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E46" w:rsidRPr="000A12DC" w:rsidRDefault="00757E46" w:rsidP="00685A59">
            <w:pPr>
              <w:rPr>
                <w:rFonts w:eastAsia="Times New Roman"/>
                <w:b/>
                <w:bCs/>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E46" w:rsidRPr="000A12DC" w:rsidRDefault="00757E46" w:rsidP="00685A59">
            <w:pPr>
              <w:rPr>
                <w:rFonts w:eastAsia="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E46" w:rsidRPr="000A12DC" w:rsidRDefault="00757E46" w:rsidP="00685A59">
            <w:pPr>
              <w:rPr>
                <w:rFonts w:eastAsia="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7E46" w:rsidRPr="000A12DC" w:rsidRDefault="00757E46" w:rsidP="00685A59">
            <w:pPr>
              <w:rPr>
                <w:rFonts w:eastAsia="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7E46" w:rsidRPr="000A12DC" w:rsidRDefault="00757E46" w:rsidP="00685A59">
            <w:pPr>
              <w:rPr>
                <w:rFonts w:eastAsia="Times New Roman"/>
                <w:sz w:val="20"/>
                <w:szCs w:val="20"/>
              </w:rPr>
            </w:pPr>
          </w:p>
        </w:tc>
      </w:tr>
      <w:tr w:rsidR="00757E46"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757E46" w:rsidRPr="000A12DC" w:rsidRDefault="00757E46"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757E46" w:rsidRPr="000A12DC" w:rsidRDefault="00757E46" w:rsidP="00685A59">
            <w:pPr>
              <w:jc w:val="center"/>
              <w:rPr>
                <w:rFonts w:eastAsia="Times New Roman"/>
                <w:b/>
                <w:bCs/>
                <w:sz w:val="20"/>
                <w:szCs w:val="20"/>
              </w:rPr>
            </w:pPr>
            <w:r w:rsidRPr="000A12DC">
              <w:rPr>
                <w:rFonts w:eastAsia="Times New Roman"/>
                <w:b/>
                <w:bCs/>
                <w:sz w:val="20"/>
                <w:szCs w:val="20"/>
              </w:rPr>
              <w:t>I. Экономическое развитие</w:t>
            </w:r>
          </w:p>
        </w:tc>
      </w:tr>
      <w:tr w:rsidR="00AE6DE1" w:rsidRPr="000A12DC" w:rsidTr="009E04C4">
        <w:trPr>
          <w:trHeight w:val="57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Число субъектов малого и среднего предпринимательства в расчете на 10 тыс. человек населения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единиц</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462,4</w:t>
            </w:r>
          </w:p>
        </w:tc>
        <w:tc>
          <w:tcPr>
            <w:tcW w:w="1134" w:type="dxa"/>
            <w:tcBorders>
              <w:top w:val="nil"/>
              <w:left w:val="nil"/>
              <w:bottom w:val="single" w:sz="4" w:space="0" w:color="auto"/>
              <w:right w:val="single" w:sz="4" w:space="0" w:color="auto"/>
            </w:tcBorders>
            <w:shd w:val="clear" w:color="auto" w:fill="auto"/>
          </w:tcPr>
          <w:p w:rsidR="00AE6DE1" w:rsidRPr="00AE6DE1" w:rsidRDefault="00AE6DE1" w:rsidP="00AE6DE1">
            <w:pPr>
              <w:jc w:val="center"/>
              <w:rPr>
                <w:rFonts w:eastAsia="Times New Roman"/>
                <w:sz w:val="20"/>
                <w:szCs w:val="20"/>
                <w:lang w:val="en-US"/>
              </w:rPr>
            </w:pPr>
            <w:r>
              <w:rPr>
                <w:rFonts w:eastAsia="Times New Roman"/>
                <w:sz w:val="20"/>
                <w:szCs w:val="20"/>
                <w:lang w:val="en-US"/>
              </w:rPr>
              <w:t>365</w:t>
            </w:r>
            <w:r>
              <w:rPr>
                <w:rFonts w:eastAsia="Times New Roman"/>
                <w:sz w:val="20"/>
                <w:szCs w:val="20"/>
              </w:rPr>
              <w:t>,</w:t>
            </w:r>
            <w:r>
              <w:rPr>
                <w:rFonts w:eastAsia="Times New Roman"/>
                <w:sz w:val="20"/>
                <w:szCs w:val="20"/>
                <w:lang w:val="en-US"/>
              </w:rPr>
              <w:t>5</w:t>
            </w:r>
          </w:p>
        </w:tc>
      </w:tr>
      <w:tr w:rsidR="00AE6DE1" w:rsidRPr="000A12DC" w:rsidTr="009E04C4">
        <w:trPr>
          <w:trHeight w:val="94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26,0</w:t>
            </w:r>
          </w:p>
        </w:tc>
        <w:tc>
          <w:tcPr>
            <w:tcW w:w="1134" w:type="dxa"/>
            <w:tcBorders>
              <w:top w:val="nil"/>
              <w:left w:val="nil"/>
              <w:bottom w:val="single" w:sz="4" w:space="0" w:color="auto"/>
              <w:right w:val="single" w:sz="4" w:space="0" w:color="auto"/>
            </w:tcBorders>
            <w:shd w:val="clear" w:color="auto" w:fill="auto"/>
          </w:tcPr>
          <w:p w:rsidR="00AE6DE1" w:rsidRPr="00AE6DE1" w:rsidRDefault="00AE6DE1" w:rsidP="00AE6DE1">
            <w:pPr>
              <w:jc w:val="center"/>
              <w:rPr>
                <w:rFonts w:eastAsia="Times New Roman"/>
                <w:sz w:val="20"/>
                <w:szCs w:val="20"/>
                <w:lang w:val="en-US"/>
              </w:rPr>
            </w:pPr>
            <w:r>
              <w:rPr>
                <w:rFonts w:eastAsia="Times New Roman"/>
                <w:sz w:val="20"/>
                <w:szCs w:val="20"/>
                <w:lang w:val="en-US"/>
              </w:rPr>
              <w:t>21</w:t>
            </w:r>
            <w:r>
              <w:rPr>
                <w:rFonts w:eastAsia="Times New Roman"/>
                <w:sz w:val="20"/>
                <w:szCs w:val="20"/>
              </w:rPr>
              <w:t>,</w:t>
            </w:r>
            <w:r>
              <w:rPr>
                <w:rFonts w:eastAsia="Times New Roman"/>
                <w:sz w:val="20"/>
                <w:szCs w:val="20"/>
                <w:lang w:val="en-US"/>
              </w:rPr>
              <w:t>5</w:t>
            </w:r>
          </w:p>
        </w:tc>
      </w:tr>
      <w:tr w:rsidR="00AE6DE1" w:rsidRPr="000A12DC" w:rsidTr="009E04C4">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Объем инвестиций в основной капитал (за исключением бюджетных средств) в расчете на 1 жителя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70 299,9</w:t>
            </w:r>
          </w:p>
        </w:tc>
        <w:tc>
          <w:tcPr>
            <w:tcW w:w="1134" w:type="dxa"/>
            <w:tcBorders>
              <w:top w:val="nil"/>
              <w:left w:val="nil"/>
              <w:bottom w:val="single" w:sz="4" w:space="0" w:color="auto"/>
              <w:right w:val="single" w:sz="4" w:space="0" w:color="auto"/>
            </w:tcBorders>
            <w:shd w:val="clear" w:color="auto" w:fill="auto"/>
          </w:tcPr>
          <w:p w:rsidR="00AE6DE1" w:rsidRPr="00AE6DE1" w:rsidRDefault="00AE6DE1" w:rsidP="00AE6DE1">
            <w:pPr>
              <w:jc w:val="center"/>
              <w:rPr>
                <w:rFonts w:eastAsia="Times New Roman"/>
                <w:sz w:val="20"/>
                <w:szCs w:val="20"/>
                <w:lang w:val="en-US"/>
              </w:rPr>
            </w:pPr>
            <w:r>
              <w:rPr>
                <w:rFonts w:eastAsia="Times New Roman"/>
                <w:sz w:val="20"/>
                <w:szCs w:val="20"/>
                <w:lang w:val="en-US"/>
              </w:rPr>
              <w:t>54 572</w:t>
            </w:r>
            <w:r>
              <w:rPr>
                <w:rFonts w:eastAsia="Times New Roman"/>
                <w:sz w:val="20"/>
                <w:szCs w:val="20"/>
              </w:rPr>
              <w:t>,</w:t>
            </w:r>
            <w:r>
              <w:rPr>
                <w:rFonts w:eastAsia="Times New Roman"/>
                <w:sz w:val="20"/>
                <w:szCs w:val="20"/>
                <w:lang w:val="en-US"/>
              </w:rPr>
              <w:t>0</w:t>
            </w:r>
          </w:p>
        </w:tc>
      </w:tr>
      <w:tr w:rsidR="00AE6DE1" w:rsidRPr="000A12DC" w:rsidTr="009E04C4">
        <w:trPr>
          <w:trHeight w:val="75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4.</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53,0</w:t>
            </w:r>
          </w:p>
        </w:tc>
        <w:tc>
          <w:tcPr>
            <w:tcW w:w="1134" w:type="dxa"/>
            <w:tcBorders>
              <w:top w:val="nil"/>
              <w:left w:val="nil"/>
              <w:bottom w:val="single" w:sz="4" w:space="0" w:color="auto"/>
              <w:right w:val="single" w:sz="4" w:space="0" w:color="auto"/>
            </w:tcBorders>
            <w:shd w:val="clear" w:color="auto" w:fill="auto"/>
          </w:tcPr>
          <w:p w:rsidR="00AE6DE1" w:rsidRPr="00AE6DE1" w:rsidRDefault="00AE6DE1" w:rsidP="00685A59">
            <w:pPr>
              <w:jc w:val="center"/>
              <w:rPr>
                <w:rFonts w:eastAsia="Times New Roman"/>
                <w:sz w:val="20"/>
                <w:szCs w:val="20"/>
              </w:rPr>
            </w:pPr>
            <w:r>
              <w:rPr>
                <w:rFonts w:eastAsia="Times New Roman"/>
                <w:sz w:val="20"/>
                <w:szCs w:val="20"/>
                <w:lang w:val="en-US"/>
              </w:rPr>
              <w:t>53</w:t>
            </w:r>
            <w:r>
              <w:rPr>
                <w:rFonts w:eastAsia="Times New Roman"/>
                <w:sz w:val="20"/>
                <w:szCs w:val="20"/>
              </w:rPr>
              <w:t>,0</w:t>
            </w:r>
          </w:p>
        </w:tc>
      </w:tr>
      <w:tr w:rsidR="00AE6DE1" w:rsidRPr="000A12DC" w:rsidTr="009E04C4">
        <w:trPr>
          <w:trHeight w:val="388"/>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5.</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прибыльных сельскохозяйственных организаций в общем их числе</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50,0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80,0</w:t>
            </w:r>
          </w:p>
        </w:tc>
      </w:tr>
      <w:tr w:rsidR="00AE6DE1" w:rsidRPr="000A12DC" w:rsidTr="009C2AEA">
        <w:trPr>
          <w:trHeight w:val="70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6.</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27,0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23,2</w:t>
            </w:r>
          </w:p>
        </w:tc>
      </w:tr>
      <w:tr w:rsidR="00AE6DE1" w:rsidRPr="000A12DC" w:rsidTr="009E04C4">
        <w:trPr>
          <w:trHeight w:val="843"/>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7.</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0,2</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0,2</w:t>
            </w:r>
          </w:p>
        </w:tc>
      </w:tr>
      <w:tr w:rsidR="00AE6DE1" w:rsidRPr="000A12DC" w:rsidTr="009E04C4">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8.</w:t>
            </w:r>
          </w:p>
        </w:tc>
        <w:tc>
          <w:tcPr>
            <w:tcW w:w="7797" w:type="dxa"/>
            <w:gridSpan w:val="2"/>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rPr>
                <w:rFonts w:eastAsia="Times New Roman"/>
                <w:b/>
                <w:bCs/>
                <w:sz w:val="20"/>
                <w:szCs w:val="20"/>
              </w:rPr>
            </w:pPr>
            <w:r w:rsidRPr="000A12DC">
              <w:rPr>
                <w:rFonts w:eastAsia="Times New Roman"/>
                <w:b/>
                <w:bCs/>
                <w:sz w:val="20"/>
                <w:szCs w:val="20"/>
              </w:rPr>
              <w:t>Среднемесячная номинальная начисленная заработная плата работников: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right"/>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right"/>
              <w:rPr>
                <w:rFonts w:eastAsia="Times New Roman"/>
                <w:sz w:val="20"/>
                <w:szCs w:val="20"/>
              </w:rPr>
            </w:pPr>
            <w:r w:rsidRPr="000A12DC">
              <w:rPr>
                <w:rFonts w:eastAsia="Times New Roman"/>
                <w:sz w:val="20"/>
                <w:szCs w:val="20"/>
              </w:rPr>
              <w:t> </w:t>
            </w:r>
          </w:p>
        </w:tc>
      </w:tr>
      <w:tr w:rsidR="00AE6DE1" w:rsidRPr="000A12DC" w:rsidTr="009E04C4">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крупных и средних предприятий и некоммерческих организаций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58 001,0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63 619,0</w:t>
            </w:r>
          </w:p>
        </w:tc>
      </w:tr>
      <w:tr w:rsidR="00AE6DE1" w:rsidRPr="000A12DC" w:rsidTr="009E04C4">
        <w:trPr>
          <w:trHeight w:val="28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муниципальных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34 788,0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39 612,0</w:t>
            </w:r>
          </w:p>
        </w:tc>
      </w:tr>
      <w:tr w:rsidR="00AE6DE1" w:rsidRPr="000A12DC" w:rsidTr="009E04C4">
        <w:trPr>
          <w:trHeight w:val="27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45 731,0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50 554,0</w:t>
            </w:r>
          </w:p>
        </w:tc>
      </w:tr>
      <w:tr w:rsidR="00AE6DE1" w:rsidRPr="000A12DC" w:rsidTr="009E04C4">
        <w:trPr>
          <w:trHeight w:val="27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учителей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53 015,31</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58 212,76</w:t>
            </w:r>
          </w:p>
        </w:tc>
      </w:tr>
      <w:tr w:rsidR="00AE6DE1" w:rsidRPr="000A12DC" w:rsidTr="009E04C4">
        <w:trPr>
          <w:trHeight w:val="28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муниципальных учреждений культуры и искусства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52 477,0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57 650,0</w:t>
            </w:r>
          </w:p>
        </w:tc>
      </w:tr>
      <w:tr w:rsidR="00AE6DE1" w:rsidRPr="000A12DC" w:rsidTr="009E04C4">
        <w:trPr>
          <w:trHeight w:val="28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муниципальных учреждений физической культуры и спорта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42 328,0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47 381,0</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II. Дошкольное образование</w:t>
            </w:r>
          </w:p>
        </w:tc>
      </w:tr>
      <w:tr w:rsidR="00AE6DE1" w:rsidRPr="000A12DC" w:rsidTr="009E04C4">
        <w:trPr>
          <w:trHeight w:val="100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9.</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96,9</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92,96</w:t>
            </w:r>
          </w:p>
        </w:tc>
      </w:tr>
      <w:tr w:rsidR="00AE6DE1" w:rsidRPr="000A12DC" w:rsidTr="009E04C4">
        <w:trPr>
          <w:trHeight w:val="78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10.</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6,26</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4,51</w:t>
            </w:r>
          </w:p>
        </w:tc>
      </w:tr>
      <w:tr w:rsidR="00AE6DE1" w:rsidRPr="000A12DC" w:rsidTr="009E04C4">
        <w:trPr>
          <w:trHeight w:val="914"/>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11.</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0,0</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III. Общее и дополнительное образование</w:t>
            </w:r>
          </w:p>
        </w:tc>
      </w:tr>
      <w:tr w:rsidR="00AE6DE1" w:rsidRPr="000A12DC" w:rsidTr="00F930FF">
        <w:trPr>
          <w:trHeight w:val="860"/>
        </w:trPr>
        <w:tc>
          <w:tcPr>
            <w:tcW w:w="567" w:type="dxa"/>
            <w:tcBorders>
              <w:top w:val="nil"/>
              <w:left w:val="single" w:sz="4" w:space="0" w:color="auto"/>
              <w:bottom w:val="single" w:sz="4" w:space="0" w:color="auto"/>
              <w:right w:val="single" w:sz="4" w:space="0" w:color="auto"/>
            </w:tcBorders>
            <w:shd w:val="clear" w:color="auto" w:fill="auto"/>
          </w:tcPr>
          <w:p w:rsidR="00AE6DE1" w:rsidRPr="000A12DC" w:rsidRDefault="00AE6DE1" w:rsidP="00685A59">
            <w:pPr>
              <w:rPr>
                <w:sz w:val="20"/>
                <w:szCs w:val="20"/>
              </w:rPr>
            </w:pPr>
            <w:r w:rsidRPr="000A12DC">
              <w:rPr>
                <w:sz w:val="20"/>
                <w:szCs w:val="20"/>
              </w:rPr>
              <w:t>12.</w:t>
            </w:r>
          </w:p>
        </w:tc>
        <w:tc>
          <w:tcPr>
            <w:tcW w:w="6521" w:type="dxa"/>
            <w:tcBorders>
              <w:top w:val="nil"/>
              <w:left w:val="nil"/>
              <w:bottom w:val="single" w:sz="4" w:space="0" w:color="auto"/>
              <w:right w:val="single" w:sz="4" w:space="0" w:color="auto"/>
            </w:tcBorders>
            <w:shd w:val="clear" w:color="auto" w:fill="auto"/>
          </w:tcPr>
          <w:p w:rsidR="00AE6DE1" w:rsidRPr="000A12DC" w:rsidRDefault="00AE6DE1" w:rsidP="00685A59">
            <w:pPr>
              <w:rPr>
                <w:sz w:val="20"/>
                <w:szCs w:val="20"/>
              </w:rPr>
            </w:pPr>
            <w:r w:rsidRPr="00BF4048">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276" w:type="dxa"/>
            <w:tcBorders>
              <w:top w:val="nil"/>
              <w:left w:val="nil"/>
              <w:bottom w:val="single" w:sz="4" w:space="0" w:color="auto"/>
              <w:right w:val="single" w:sz="4" w:space="0" w:color="auto"/>
            </w:tcBorders>
            <w:shd w:val="clear" w:color="auto" w:fill="auto"/>
          </w:tcPr>
          <w:p w:rsidR="00AE6DE1" w:rsidRPr="000A12DC" w:rsidRDefault="00AE6DE1" w:rsidP="00685A59">
            <w:pPr>
              <w:rPr>
                <w:sz w:val="20"/>
                <w:szCs w:val="20"/>
              </w:rPr>
            </w:pPr>
            <w:r w:rsidRPr="000A12DC">
              <w:rPr>
                <w:sz w:val="20"/>
                <w:szCs w:val="20"/>
              </w:rPr>
              <w:t>процентов</w:t>
            </w:r>
          </w:p>
        </w:tc>
        <w:tc>
          <w:tcPr>
            <w:tcW w:w="1134" w:type="dxa"/>
            <w:tcBorders>
              <w:top w:val="single" w:sz="4" w:space="0" w:color="auto"/>
              <w:left w:val="nil"/>
              <w:bottom w:val="single" w:sz="4" w:space="0" w:color="auto"/>
              <w:right w:val="single" w:sz="4" w:space="0" w:color="auto"/>
            </w:tcBorders>
            <w:shd w:val="clear" w:color="auto" w:fill="auto"/>
          </w:tcPr>
          <w:p w:rsidR="00AE6DE1" w:rsidRPr="00C67FB3" w:rsidRDefault="00AE6DE1" w:rsidP="005A152A">
            <w:pPr>
              <w:jc w:val="center"/>
              <w:rPr>
                <w:sz w:val="20"/>
                <w:szCs w:val="20"/>
              </w:rPr>
            </w:pPr>
            <w:r w:rsidRPr="00C67FB3">
              <w:rPr>
                <w:sz w:val="20"/>
                <w:szCs w:val="20"/>
              </w:rPr>
              <w:t>Не оценива</w:t>
            </w:r>
            <w:r w:rsidR="005A152A">
              <w:rPr>
                <w:sz w:val="20"/>
                <w:szCs w:val="20"/>
              </w:rPr>
              <w:t>лся</w:t>
            </w:r>
          </w:p>
        </w:tc>
        <w:tc>
          <w:tcPr>
            <w:tcW w:w="1134" w:type="dxa"/>
            <w:tcBorders>
              <w:top w:val="single" w:sz="4" w:space="0" w:color="auto"/>
              <w:left w:val="nil"/>
              <w:bottom w:val="single" w:sz="4" w:space="0" w:color="auto"/>
              <w:right w:val="single" w:sz="4" w:space="0" w:color="auto"/>
            </w:tcBorders>
            <w:shd w:val="clear" w:color="auto" w:fill="auto"/>
          </w:tcPr>
          <w:p w:rsidR="00AE6DE1" w:rsidRPr="00C67FB3" w:rsidRDefault="005A152A" w:rsidP="00685A59">
            <w:pPr>
              <w:jc w:val="center"/>
              <w:rPr>
                <w:sz w:val="20"/>
                <w:szCs w:val="20"/>
              </w:rPr>
            </w:pPr>
            <w:r>
              <w:rPr>
                <w:sz w:val="20"/>
                <w:szCs w:val="20"/>
              </w:rPr>
              <w:t>99,8</w:t>
            </w:r>
          </w:p>
        </w:tc>
      </w:tr>
      <w:tr w:rsidR="00AE6DE1" w:rsidRPr="000A12DC" w:rsidTr="00A8461A">
        <w:trPr>
          <w:trHeight w:val="86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lastRenderedPageBreak/>
              <w:t>13.</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C67FB3" w:rsidRDefault="00AE6DE1" w:rsidP="00685A59">
            <w:pPr>
              <w:jc w:val="center"/>
              <w:rPr>
                <w:rFonts w:eastAsia="Times New Roman"/>
                <w:sz w:val="20"/>
                <w:szCs w:val="20"/>
              </w:rPr>
            </w:pPr>
            <w:r w:rsidRPr="00C67FB3">
              <w:rPr>
                <w:sz w:val="20"/>
                <w:szCs w:val="20"/>
              </w:rPr>
              <w:t>0,58</w:t>
            </w:r>
          </w:p>
        </w:tc>
        <w:tc>
          <w:tcPr>
            <w:tcW w:w="1134" w:type="dxa"/>
            <w:tcBorders>
              <w:top w:val="nil"/>
              <w:left w:val="nil"/>
              <w:bottom w:val="single" w:sz="4" w:space="0" w:color="auto"/>
              <w:right w:val="single" w:sz="4" w:space="0" w:color="auto"/>
            </w:tcBorders>
            <w:shd w:val="clear" w:color="auto" w:fill="auto"/>
          </w:tcPr>
          <w:p w:rsidR="00AE6DE1" w:rsidRPr="00C67FB3" w:rsidRDefault="00C67FB3" w:rsidP="00685A59">
            <w:pPr>
              <w:jc w:val="center"/>
              <w:rPr>
                <w:rFonts w:eastAsia="Times New Roman"/>
                <w:sz w:val="20"/>
                <w:szCs w:val="20"/>
              </w:rPr>
            </w:pPr>
            <w:r w:rsidRPr="00C67FB3">
              <w:rPr>
                <w:rFonts w:eastAsia="Times New Roman"/>
                <w:sz w:val="20"/>
                <w:szCs w:val="20"/>
              </w:rPr>
              <w:t>0,73</w:t>
            </w:r>
          </w:p>
        </w:tc>
      </w:tr>
      <w:tr w:rsidR="00AE6DE1" w:rsidRPr="000A12DC" w:rsidTr="00A8461A">
        <w:trPr>
          <w:trHeight w:val="647"/>
        </w:trPr>
        <w:tc>
          <w:tcPr>
            <w:tcW w:w="567" w:type="dxa"/>
            <w:tcBorders>
              <w:top w:val="single" w:sz="4" w:space="0" w:color="auto"/>
              <w:left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14.</w:t>
            </w:r>
          </w:p>
        </w:tc>
        <w:tc>
          <w:tcPr>
            <w:tcW w:w="6521" w:type="dxa"/>
            <w:tcBorders>
              <w:top w:val="single" w:sz="4" w:space="0" w:color="auto"/>
              <w:left w:val="nil"/>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4" w:space="0" w:color="auto"/>
              <w:left w:val="nil"/>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single" w:sz="4" w:space="0" w:color="auto"/>
              <w:left w:val="nil"/>
              <w:right w:val="single" w:sz="4" w:space="0" w:color="auto"/>
            </w:tcBorders>
            <w:shd w:val="clear" w:color="auto" w:fill="auto"/>
          </w:tcPr>
          <w:p w:rsidR="00AE6DE1" w:rsidRPr="00C67FB3" w:rsidRDefault="00AE6DE1" w:rsidP="00685A59">
            <w:pPr>
              <w:jc w:val="center"/>
              <w:rPr>
                <w:rFonts w:eastAsia="Times New Roman"/>
                <w:sz w:val="20"/>
                <w:szCs w:val="20"/>
              </w:rPr>
            </w:pPr>
            <w:r w:rsidRPr="00C67FB3">
              <w:rPr>
                <w:rFonts w:eastAsia="Times New Roman"/>
                <w:sz w:val="20"/>
                <w:szCs w:val="20"/>
              </w:rPr>
              <w:t>89,14</w:t>
            </w:r>
          </w:p>
        </w:tc>
        <w:tc>
          <w:tcPr>
            <w:tcW w:w="1134" w:type="dxa"/>
            <w:tcBorders>
              <w:top w:val="single" w:sz="4" w:space="0" w:color="auto"/>
              <w:left w:val="nil"/>
              <w:right w:val="single" w:sz="4" w:space="0" w:color="auto"/>
            </w:tcBorders>
            <w:shd w:val="clear" w:color="auto" w:fill="auto"/>
          </w:tcPr>
          <w:p w:rsidR="00AE6DE1" w:rsidRDefault="00C67FB3" w:rsidP="00685A59">
            <w:pPr>
              <w:jc w:val="center"/>
              <w:rPr>
                <w:rFonts w:eastAsia="Times New Roman"/>
                <w:sz w:val="20"/>
                <w:szCs w:val="20"/>
              </w:rPr>
            </w:pPr>
            <w:r w:rsidRPr="00C67FB3">
              <w:rPr>
                <w:rFonts w:eastAsia="Times New Roman"/>
                <w:sz w:val="20"/>
                <w:szCs w:val="20"/>
              </w:rPr>
              <w:t>89,31</w:t>
            </w:r>
          </w:p>
          <w:p w:rsidR="00A8461A" w:rsidRDefault="00A8461A" w:rsidP="00685A59">
            <w:pPr>
              <w:jc w:val="center"/>
              <w:rPr>
                <w:rFonts w:eastAsia="Times New Roman"/>
                <w:sz w:val="20"/>
                <w:szCs w:val="20"/>
              </w:rPr>
            </w:pPr>
          </w:p>
          <w:p w:rsidR="00A8461A" w:rsidRDefault="00A8461A" w:rsidP="00685A59">
            <w:pPr>
              <w:jc w:val="center"/>
              <w:rPr>
                <w:rFonts w:eastAsia="Times New Roman"/>
                <w:sz w:val="20"/>
                <w:szCs w:val="20"/>
              </w:rPr>
            </w:pPr>
          </w:p>
          <w:p w:rsidR="00A8461A" w:rsidRDefault="00A8461A" w:rsidP="00685A59">
            <w:pPr>
              <w:jc w:val="center"/>
              <w:rPr>
                <w:rFonts w:eastAsia="Times New Roman"/>
                <w:sz w:val="20"/>
                <w:szCs w:val="20"/>
              </w:rPr>
            </w:pPr>
          </w:p>
          <w:p w:rsidR="00A8461A" w:rsidRPr="00C67FB3" w:rsidRDefault="00A8461A" w:rsidP="00685A59">
            <w:pPr>
              <w:jc w:val="center"/>
              <w:rPr>
                <w:rFonts w:eastAsia="Times New Roman"/>
                <w:sz w:val="20"/>
                <w:szCs w:val="20"/>
              </w:rPr>
            </w:pPr>
          </w:p>
        </w:tc>
      </w:tr>
      <w:tr w:rsidR="00AE6DE1" w:rsidRPr="000A12DC" w:rsidTr="00A8461A">
        <w:trPr>
          <w:trHeight w:val="784"/>
        </w:trPr>
        <w:tc>
          <w:tcPr>
            <w:tcW w:w="567" w:type="dxa"/>
            <w:tcBorders>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15.</w:t>
            </w:r>
          </w:p>
        </w:tc>
        <w:tc>
          <w:tcPr>
            <w:tcW w:w="6521" w:type="dxa"/>
            <w:tcBorders>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76" w:type="dxa"/>
            <w:tcBorders>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63,16</w:t>
            </w:r>
          </w:p>
        </w:tc>
        <w:tc>
          <w:tcPr>
            <w:tcW w:w="1134" w:type="dxa"/>
            <w:tcBorders>
              <w:left w:val="nil"/>
              <w:bottom w:val="nil"/>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63,16</w:t>
            </w:r>
          </w:p>
        </w:tc>
      </w:tr>
      <w:tr w:rsidR="00AE6DE1" w:rsidRPr="000A12DC" w:rsidTr="009E04C4">
        <w:trPr>
          <w:trHeight w:val="571"/>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16.</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91,0</w:t>
            </w:r>
          </w:p>
        </w:tc>
        <w:tc>
          <w:tcPr>
            <w:tcW w:w="1134" w:type="dxa"/>
            <w:tcBorders>
              <w:top w:val="single" w:sz="4" w:space="0" w:color="auto"/>
              <w:left w:val="nil"/>
              <w:bottom w:val="nil"/>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88,2</w:t>
            </w:r>
          </w:p>
        </w:tc>
      </w:tr>
      <w:tr w:rsidR="00AE6DE1" w:rsidRPr="000A12DC" w:rsidTr="009E04C4">
        <w:trPr>
          <w:trHeight w:val="103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17.</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nil"/>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25,67</w:t>
            </w:r>
          </w:p>
        </w:tc>
        <w:tc>
          <w:tcPr>
            <w:tcW w:w="1134" w:type="dxa"/>
            <w:tcBorders>
              <w:top w:val="single" w:sz="4" w:space="0" w:color="auto"/>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25,66</w:t>
            </w:r>
          </w:p>
        </w:tc>
      </w:tr>
      <w:tr w:rsidR="00AE6DE1" w:rsidRPr="000A12DC" w:rsidTr="009E04C4">
        <w:trPr>
          <w:trHeight w:val="81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18.</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тыс. рублей</w:t>
            </w:r>
          </w:p>
        </w:tc>
        <w:tc>
          <w:tcPr>
            <w:tcW w:w="1134" w:type="dxa"/>
            <w:tcBorders>
              <w:top w:val="single" w:sz="4" w:space="0" w:color="auto"/>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89,6</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99,5</w:t>
            </w:r>
          </w:p>
        </w:tc>
      </w:tr>
      <w:tr w:rsidR="00AE6DE1" w:rsidRPr="000A12DC" w:rsidTr="009E04C4">
        <w:trPr>
          <w:trHeight w:val="106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19.</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78,0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81,0</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IV. Культура</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20.</w:t>
            </w:r>
          </w:p>
        </w:tc>
        <w:tc>
          <w:tcPr>
            <w:tcW w:w="7797" w:type="dxa"/>
            <w:gridSpan w:val="2"/>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rPr>
                <w:rFonts w:eastAsia="Times New Roman"/>
                <w:b/>
                <w:bCs/>
                <w:sz w:val="20"/>
                <w:szCs w:val="20"/>
              </w:rPr>
            </w:pPr>
            <w:r w:rsidRPr="000A12DC">
              <w:rPr>
                <w:rFonts w:eastAsia="Times New Roman"/>
                <w:b/>
                <w:bCs/>
                <w:sz w:val="20"/>
                <w:szCs w:val="20"/>
              </w:rPr>
              <w:t>Уровень фактической обеспеченности учреждениями культуры от нормативной потребности:</w:t>
            </w:r>
          </w:p>
        </w:tc>
        <w:tc>
          <w:tcPr>
            <w:tcW w:w="1134"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right"/>
              <w:rPr>
                <w:rFonts w:eastAsia="Times New Roman"/>
                <w:sz w:val="20"/>
                <w:szCs w:val="20"/>
              </w:rPr>
            </w:pPr>
            <w:r w:rsidRPr="000A12DC">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right"/>
              <w:rPr>
                <w:rFonts w:eastAsia="Times New Roman"/>
                <w:sz w:val="20"/>
                <w:szCs w:val="20"/>
              </w:rPr>
            </w:pPr>
            <w:r w:rsidRPr="000A12DC">
              <w:rPr>
                <w:rFonts w:eastAsia="Times New Roman"/>
                <w:sz w:val="20"/>
                <w:szCs w:val="20"/>
              </w:rPr>
              <w:t> </w:t>
            </w:r>
          </w:p>
        </w:tc>
      </w:tr>
      <w:tr w:rsidR="00AE6DE1" w:rsidRPr="000A12DC" w:rsidTr="009E04C4">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клубами и учреждениями клубного типа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100,0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100,0</w:t>
            </w:r>
          </w:p>
        </w:tc>
      </w:tr>
      <w:tr w:rsidR="00AE6DE1" w:rsidRPr="000A12DC" w:rsidTr="009E04C4">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библиотеками</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100,0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100,0</w:t>
            </w:r>
          </w:p>
        </w:tc>
      </w:tr>
      <w:tr w:rsidR="00AE6DE1" w:rsidRPr="000A12DC" w:rsidTr="009E04C4">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парками культуры и отдыха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45,95</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45,95</w:t>
            </w:r>
          </w:p>
        </w:tc>
      </w:tr>
      <w:tr w:rsidR="00AE6DE1" w:rsidRPr="000A12DC" w:rsidTr="009E04C4">
        <w:trPr>
          <w:trHeight w:val="88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21.</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6,25</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11,2</w:t>
            </w:r>
          </w:p>
        </w:tc>
      </w:tr>
      <w:tr w:rsidR="00AE6DE1" w:rsidRPr="000A12DC" w:rsidTr="009E04C4">
        <w:trPr>
          <w:trHeight w:val="896"/>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22.</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27,27</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36,36</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V. Физическая культура и спорт</w:t>
            </w:r>
          </w:p>
        </w:tc>
      </w:tr>
      <w:tr w:rsidR="00AE6DE1" w:rsidRPr="000A12DC" w:rsidTr="009E04C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23.</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населения, систематически занимающегося физической культурой и спортом, процентов</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49,1</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52,48</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VI. Жилищное строительство и обеспечение граждан жильем</w:t>
            </w:r>
          </w:p>
        </w:tc>
      </w:tr>
      <w:tr w:rsidR="00AE6DE1" w:rsidRPr="000A12DC" w:rsidTr="009E04C4">
        <w:trPr>
          <w:trHeight w:val="57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24.</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Общая площадь жилых помещений, приходящаяся в среднем на одного жителя - всего</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кв. метров</w:t>
            </w:r>
          </w:p>
        </w:tc>
        <w:tc>
          <w:tcPr>
            <w:tcW w:w="1134" w:type="dxa"/>
            <w:tcBorders>
              <w:top w:val="nil"/>
              <w:left w:val="nil"/>
              <w:bottom w:val="single" w:sz="4" w:space="0" w:color="auto"/>
              <w:right w:val="single" w:sz="4" w:space="0" w:color="auto"/>
            </w:tcBorders>
            <w:shd w:val="clear" w:color="auto" w:fill="auto"/>
          </w:tcPr>
          <w:p w:rsidR="00AE6DE1" w:rsidRPr="000A12DC" w:rsidRDefault="00955D9C" w:rsidP="00685A59">
            <w:pPr>
              <w:jc w:val="center"/>
              <w:rPr>
                <w:rFonts w:eastAsia="Times New Roman"/>
                <w:sz w:val="20"/>
                <w:szCs w:val="20"/>
              </w:rPr>
            </w:pPr>
            <w:r>
              <w:rPr>
                <w:rFonts w:eastAsia="Times New Roman"/>
                <w:sz w:val="20"/>
                <w:szCs w:val="20"/>
              </w:rPr>
              <w:t>28,5</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28,9</w:t>
            </w:r>
          </w:p>
        </w:tc>
      </w:tr>
      <w:tr w:rsidR="00AE6DE1" w:rsidRPr="000A12DC" w:rsidTr="009E04C4">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xml:space="preserve">в том числе </w:t>
            </w:r>
            <w:proofErr w:type="gramStart"/>
            <w:r w:rsidRPr="000A12DC">
              <w:rPr>
                <w:rFonts w:eastAsia="Times New Roman"/>
                <w:sz w:val="20"/>
                <w:szCs w:val="20"/>
              </w:rPr>
              <w:t>введенная</w:t>
            </w:r>
            <w:proofErr w:type="gramEnd"/>
            <w:r w:rsidRPr="000A12DC">
              <w:rPr>
                <w:rFonts w:eastAsia="Times New Roman"/>
                <w:sz w:val="20"/>
                <w:szCs w:val="20"/>
              </w:rPr>
              <w:t xml:space="preserve"> в действие за год</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кв.метров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0,4</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0,5</w:t>
            </w:r>
          </w:p>
        </w:tc>
      </w:tr>
      <w:tr w:rsidR="00AE6DE1" w:rsidRPr="000A12DC" w:rsidTr="009E04C4">
        <w:trPr>
          <w:trHeight w:val="54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25.</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Площадь земельных участков, предоставленных для строительства в расчете на 10 тыс. человек населения, - в том числе</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гектаров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2,0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0,6</w:t>
            </w:r>
          </w:p>
        </w:tc>
      </w:tr>
      <w:tr w:rsidR="00AE6DE1" w:rsidRPr="000A12DC" w:rsidTr="009E04C4">
        <w:trPr>
          <w:trHeight w:val="75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гектаров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1,2</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0,1</w:t>
            </w:r>
          </w:p>
        </w:tc>
      </w:tr>
      <w:tr w:rsidR="00AE6DE1" w:rsidRPr="000405ED" w:rsidTr="00757E46">
        <w:trPr>
          <w:trHeight w:val="82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26.</w:t>
            </w:r>
          </w:p>
        </w:tc>
        <w:tc>
          <w:tcPr>
            <w:tcW w:w="10065" w:type="dxa"/>
            <w:gridSpan w:val="4"/>
            <w:tcBorders>
              <w:top w:val="single" w:sz="4" w:space="0" w:color="auto"/>
              <w:left w:val="nil"/>
              <w:bottom w:val="single" w:sz="4" w:space="0" w:color="auto"/>
              <w:right w:val="single" w:sz="4" w:space="0" w:color="000000"/>
            </w:tcBorders>
            <w:shd w:val="clear" w:color="auto" w:fill="auto"/>
            <w:hideMark/>
          </w:tcPr>
          <w:p w:rsidR="00AE6DE1" w:rsidRPr="000405ED" w:rsidRDefault="00AE6DE1" w:rsidP="000405ED">
            <w:pPr>
              <w:rPr>
                <w:rFonts w:eastAsia="Times New Roman"/>
                <w:bCs/>
                <w:sz w:val="20"/>
                <w:szCs w:val="20"/>
              </w:rPr>
            </w:pPr>
            <w:r w:rsidRPr="000405ED">
              <w:rPr>
                <w:rFonts w:eastAsia="Times New Roman"/>
                <w:bCs/>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AE6DE1" w:rsidRPr="000A12DC" w:rsidTr="009E04C4">
        <w:trPr>
          <w:trHeight w:val="39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объектов жилищного строительства - в течение 3 лет</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кв. метров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78 345,0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tcPr>
          <w:p w:rsidR="00AE6DE1" w:rsidRPr="000A12DC" w:rsidRDefault="00C67FB3" w:rsidP="00685A59">
            <w:pPr>
              <w:jc w:val="center"/>
              <w:rPr>
                <w:rFonts w:eastAsia="Times New Roman"/>
                <w:sz w:val="20"/>
                <w:szCs w:val="20"/>
              </w:rPr>
            </w:pPr>
            <w:r>
              <w:rPr>
                <w:rFonts w:eastAsia="Times New Roman"/>
                <w:sz w:val="20"/>
                <w:szCs w:val="20"/>
              </w:rPr>
              <w:t>75 200,0</w:t>
            </w:r>
          </w:p>
        </w:tc>
      </w:tr>
      <w:tr w:rsidR="00AE6DE1" w:rsidRPr="000A12DC" w:rsidTr="009E04C4">
        <w:trPr>
          <w:trHeight w:val="40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иных объектов капитального строительства - в течение 5 лет</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кв. метров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400 000,0</w:t>
            </w:r>
          </w:p>
        </w:tc>
        <w:tc>
          <w:tcPr>
            <w:tcW w:w="1134" w:type="dxa"/>
            <w:tcBorders>
              <w:top w:val="single" w:sz="4" w:space="0" w:color="auto"/>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380 000,0</w:t>
            </w:r>
          </w:p>
        </w:tc>
      </w:tr>
      <w:tr w:rsidR="00AE6DE1" w:rsidRPr="000A12DC" w:rsidTr="009E04C4">
        <w:trPr>
          <w:trHeight w:val="5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744CE3" w:rsidRDefault="00AE6DE1" w:rsidP="00685A59">
            <w:pPr>
              <w:rPr>
                <w:rFonts w:eastAsia="Times New Roman"/>
                <w:sz w:val="20"/>
                <w:szCs w:val="20"/>
              </w:rPr>
            </w:pPr>
            <w:r w:rsidRPr="00744CE3">
              <w:rPr>
                <w:rFonts w:eastAsia="Times New Roman"/>
                <w:sz w:val="20"/>
                <w:szCs w:val="20"/>
              </w:rPr>
              <w:lastRenderedPageBreak/>
              <w:t>27.</w:t>
            </w:r>
          </w:p>
        </w:tc>
        <w:tc>
          <w:tcPr>
            <w:tcW w:w="6521" w:type="dxa"/>
            <w:tcBorders>
              <w:top w:val="nil"/>
              <w:left w:val="nil"/>
              <w:bottom w:val="single" w:sz="4" w:space="0" w:color="auto"/>
              <w:right w:val="single" w:sz="4" w:space="0" w:color="auto"/>
            </w:tcBorders>
            <w:shd w:val="clear" w:color="auto" w:fill="auto"/>
            <w:hideMark/>
          </w:tcPr>
          <w:p w:rsidR="00AE6DE1" w:rsidRPr="00744CE3" w:rsidRDefault="00AE6DE1" w:rsidP="00685A59">
            <w:pPr>
              <w:rPr>
                <w:rFonts w:eastAsia="Times New Roman"/>
                <w:sz w:val="20"/>
                <w:szCs w:val="20"/>
              </w:rPr>
            </w:pPr>
            <w:r w:rsidRPr="00744CE3">
              <w:rPr>
                <w:rFonts w:eastAsia="Times New Roman"/>
                <w:sz w:val="20"/>
                <w:szCs w:val="20"/>
              </w:rPr>
              <w:t>Площадь жилых домов, признанных в установленном порядке аварийными, всего на конец года</w:t>
            </w:r>
          </w:p>
        </w:tc>
        <w:tc>
          <w:tcPr>
            <w:tcW w:w="1276" w:type="dxa"/>
            <w:tcBorders>
              <w:top w:val="nil"/>
              <w:left w:val="nil"/>
              <w:bottom w:val="single" w:sz="4" w:space="0" w:color="auto"/>
              <w:right w:val="single" w:sz="4" w:space="0" w:color="auto"/>
            </w:tcBorders>
            <w:shd w:val="clear" w:color="auto" w:fill="auto"/>
            <w:hideMark/>
          </w:tcPr>
          <w:p w:rsidR="00AE6DE1" w:rsidRPr="00744CE3" w:rsidRDefault="00AE6DE1" w:rsidP="00685A59">
            <w:pPr>
              <w:jc w:val="center"/>
              <w:rPr>
                <w:rFonts w:eastAsia="Times New Roman"/>
                <w:sz w:val="20"/>
                <w:szCs w:val="20"/>
              </w:rPr>
            </w:pPr>
            <w:r w:rsidRPr="00744CE3">
              <w:rPr>
                <w:rFonts w:eastAsia="Times New Roman"/>
                <w:sz w:val="20"/>
                <w:szCs w:val="20"/>
              </w:rPr>
              <w:t>тыс.кв</w:t>
            </w:r>
            <w:proofErr w:type="gramStart"/>
            <w:r w:rsidRPr="00744CE3">
              <w:rPr>
                <w:rFonts w:eastAsia="Times New Roman"/>
                <w:sz w:val="20"/>
                <w:szCs w:val="20"/>
              </w:rPr>
              <w:t>.м</w:t>
            </w:r>
            <w:proofErr w:type="gramEnd"/>
            <w:r w:rsidRPr="00744CE3">
              <w:rPr>
                <w:rFonts w:eastAsia="Times New Roman"/>
                <w:sz w:val="20"/>
                <w:szCs w:val="20"/>
              </w:rPr>
              <w:t>етров</w:t>
            </w:r>
          </w:p>
        </w:tc>
        <w:tc>
          <w:tcPr>
            <w:tcW w:w="1134" w:type="dxa"/>
            <w:tcBorders>
              <w:top w:val="nil"/>
              <w:left w:val="nil"/>
              <w:bottom w:val="single" w:sz="4" w:space="0" w:color="auto"/>
              <w:right w:val="single" w:sz="4" w:space="0" w:color="auto"/>
            </w:tcBorders>
            <w:shd w:val="clear" w:color="auto" w:fill="auto"/>
          </w:tcPr>
          <w:p w:rsidR="00AE6DE1" w:rsidRPr="00744CE3" w:rsidRDefault="00005F7C" w:rsidP="00685A59">
            <w:pPr>
              <w:jc w:val="center"/>
              <w:rPr>
                <w:rFonts w:eastAsia="Times New Roman"/>
                <w:sz w:val="20"/>
                <w:szCs w:val="20"/>
              </w:rPr>
            </w:pPr>
            <w:r w:rsidRPr="00744CE3">
              <w:rPr>
                <w:rFonts w:eastAsia="Times New Roman"/>
                <w:sz w:val="20"/>
                <w:szCs w:val="20"/>
              </w:rPr>
              <w:t>439,2</w:t>
            </w:r>
          </w:p>
        </w:tc>
        <w:tc>
          <w:tcPr>
            <w:tcW w:w="1134" w:type="dxa"/>
            <w:tcBorders>
              <w:top w:val="nil"/>
              <w:left w:val="nil"/>
              <w:bottom w:val="single" w:sz="4" w:space="0" w:color="auto"/>
              <w:right w:val="single" w:sz="4" w:space="0" w:color="auto"/>
            </w:tcBorders>
            <w:shd w:val="clear" w:color="auto" w:fill="auto"/>
          </w:tcPr>
          <w:p w:rsidR="00AE6DE1" w:rsidRPr="00744CE3" w:rsidRDefault="00774EBE" w:rsidP="00685A59">
            <w:pPr>
              <w:jc w:val="center"/>
              <w:rPr>
                <w:rFonts w:eastAsia="Times New Roman"/>
                <w:sz w:val="20"/>
                <w:szCs w:val="20"/>
              </w:rPr>
            </w:pPr>
            <w:r w:rsidRPr="00744CE3">
              <w:rPr>
                <w:rFonts w:eastAsia="Times New Roman"/>
                <w:sz w:val="20"/>
                <w:szCs w:val="20"/>
              </w:rPr>
              <w:t>425,9</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VII. Жилищно-коммунальное хозяйство</w:t>
            </w:r>
          </w:p>
        </w:tc>
      </w:tr>
      <w:tr w:rsidR="00AE6DE1" w:rsidRPr="000A12DC" w:rsidTr="009E04C4">
        <w:trPr>
          <w:trHeight w:val="123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28.</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82,25</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86,4</w:t>
            </w:r>
          </w:p>
        </w:tc>
      </w:tr>
      <w:tr w:rsidR="00AE6DE1" w:rsidRPr="000A12DC" w:rsidTr="009E04C4">
        <w:trPr>
          <w:trHeight w:val="2296"/>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29.</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58,3</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70,59</w:t>
            </w:r>
          </w:p>
        </w:tc>
      </w:tr>
      <w:tr w:rsidR="00AE6DE1" w:rsidRPr="000A12DC" w:rsidTr="009E04C4">
        <w:trPr>
          <w:trHeight w:val="82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30.</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65,0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65,0</w:t>
            </w:r>
          </w:p>
        </w:tc>
      </w:tr>
      <w:tr w:rsidR="00AE6DE1" w:rsidRPr="000A12DC" w:rsidTr="009E04C4">
        <w:trPr>
          <w:trHeight w:val="84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31.</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3,82</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4,43</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VIII. Организация муниципального управления</w:t>
            </w:r>
          </w:p>
        </w:tc>
      </w:tr>
      <w:tr w:rsidR="00AE6DE1" w:rsidRPr="000A12DC" w:rsidTr="009E04C4">
        <w:trPr>
          <w:trHeight w:val="106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32.</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55,7</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56,6</w:t>
            </w:r>
          </w:p>
        </w:tc>
      </w:tr>
      <w:tr w:rsidR="00AE6DE1" w:rsidRPr="000A12DC" w:rsidTr="009E04C4">
        <w:trPr>
          <w:trHeight w:val="105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33.</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0,0</w:t>
            </w:r>
          </w:p>
        </w:tc>
      </w:tr>
      <w:tr w:rsidR="00AE6DE1" w:rsidRPr="000A12DC" w:rsidTr="009E04C4">
        <w:trPr>
          <w:trHeight w:val="81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34.</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тыс. 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72 154,75</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115 807,9</w:t>
            </w:r>
          </w:p>
        </w:tc>
      </w:tr>
      <w:tr w:rsidR="00AE6DE1" w:rsidRPr="000A12DC" w:rsidTr="009E04C4">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35.</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0,0</w:t>
            </w:r>
          </w:p>
        </w:tc>
      </w:tr>
      <w:tr w:rsidR="00AE6DE1" w:rsidRPr="000A12DC" w:rsidTr="009E04C4">
        <w:trPr>
          <w:trHeight w:val="8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36.</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1 844,02</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2 277,5</w:t>
            </w:r>
          </w:p>
        </w:tc>
      </w:tr>
      <w:tr w:rsidR="00AE6DE1" w:rsidRPr="000A12DC" w:rsidTr="009E04C4">
        <w:trPr>
          <w:trHeight w:val="75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37.</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да/нет</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да</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да</w:t>
            </w:r>
          </w:p>
        </w:tc>
      </w:tr>
      <w:tr w:rsidR="00AE6DE1" w:rsidRPr="000A12DC" w:rsidTr="009E04C4">
        <w:trPr>
          <w:trHeight w:val="57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38.</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 xml:space="preserve">процент числа </w:t>
            </w:r>
            <w:proofErr w:type="gramStart"/>
            <w:r w:rsidRPr="000A12DC">
              <w:rPr>
                <w:rFonts w:eastAsia="Times New Roman"/>
                <w:sz w:val="20"/>
                <w:szCs w:val="20"/>
              </w:rPr>
              <w:t>опрошенных</w:t>
            </w:r>
            <w:proofErr w:type="gramEnd"/>
          </w:p>
        </w:tc>
        <w:tc>
          <w:tcPr>
            <w:tcW w:w="1134" w:type="dxa"/>
            <w:tcBorders>
              <w:top w:val="nil"/>
              <w:left w:val="nil"/>
              <w:bottom w:val="nil"/>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34,4</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56,3</w:t>
            </w:r>
          </w:p>
        </w:tc>
      </w:tr>
      <w:tr w:rsidR="00AE6DE1" w:rsidRPr="000A12DC" w:rsidTr="009E04C4">
        <w:trPr>
          <w:trHeight w:val="377"/>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39.</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Среднегодовая численность постоянного населения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тыс. человек</w:t>
            </w:r>
          </w:p>
        </w:tc>
        <w:tc>
          <w:tcPr>
            <w:tcW w:w="1134" w:type="dxa"/>
            <w:tcBorders>
              <w:top w:val="single" w:sz="4" w:space="0" w:color="auto"/>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258,9</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233,4</w:t>
            </w:r>
          </w:p>
        </w:tc>
      </w:tr>
      <w:tr w:rsidR="00AE6DE1" w:rsidRPr="000A12DC" w:rsidTr="009E04C4">
        <w:trPr>
          <w:trHeight w:val="327"/>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xml:space="preserve">40.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Дебиторская задолженность по неналоговым доходам местного бюджета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тыс. руб.</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392 876,0</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358 062,7</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b/>
                <w:bCs/>
                <w:sz w:val="20"/>
                <w:szCs w:val="20"/>
              </w:rPr>
            </w:pPr>
            <w:r w:rsidRPr="000A12DC">
              <w:rPr>
                <w:rFonts w:eastAsia="Times New Roman"/>
                <w:b/>
                <w:bCs/>
                <w:sz w:val="20"/>
                <w:szCs w:val="20"/>
              </w:rPr>
              <w:t>IX. Энергосбережение и повышение энергетической эффективности</w:t>
            </w:r>
          </w:p>
        </w:tc>
      </w:tr>
      <w:tr w:rsidR="00AE6DE1" w:rsidRPr="000A12DC" w:rsidTr="00757E46">
        <w:trPr>
          <w:trHeight w:val="49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41.</w:t>
            </w:r>
          </w:p>
        </w:tc>
        <w:tc>
          <w:tcPr>
            <w:tcW w:w="7797" w:type="dxa"/>
            <w:gridSpan w:val="2"/>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rPr>
                <w:rFonts w:eastAsia="Times New Roman"/>
                <w:b/>
                <w:bCs/>
                <w:sz w:val="20"/>
                <w:szCs w:val="20"/>
              </w:rPr>
            </w:pPr>
            <w:r w:rsidRPr="000A12DC">
              <w:rPr>
                <w:rFonts w:eastAsia="Times New Roman"/>
                <w:b/>
                <w:bCs/>
                <w:sz w:val="20"/>
                <w:szCs w:val="20"/>
              </w:rPr>
              <w:t>Удельная величина потребления энергетических ресурсов в многоквартирных домах:</w:t>
            </w:r>
          </w:p>
        </w:tc>
        <w:tc>
          <w:tcPr>
            <w:tcW w:w="1134"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right"/>
              <w:rPr>
                <w:rFonts w:eastAsia="Times New Roman"/>
                <w:sz w:val="20"/>
                <w:szCs w:val="20"/>
              </w:rPr>
            </w:pPr>
            <w:r w:rsidRPr="000A12DC">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right"/>
              <w:rPr>
                <w:rFonts w:eastAsia="Times New Roman"/>
                <w:sz w:val="20"/>
                <w:szCs w:val="20"/>
              </w:rPr>
            </w:pPr>
            <w:r w:rsidRPr="000A12DC">
              <w:rPr>
                <w:rFonts w:eastAsia="Times New Roman"/>
                <w:sz w:val="20"/>
                <w:szCs w:val="20"/>
              </w:rPr>
              <w:t> </w:t>
            </w:r>
          </w:p>
        </w:tc>
      </w:tr>
      <w:tr w:rsidR="00AE6DE1" w:rsidRPr="000A12DC" w:rsidTr="009E04C4">
        <w:trPr>
          <w:trHeight w:val="499"/>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электрическая энергия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кВт/</w:t>
            </w:r>
            <w:proofErr w:type="gramStart"/>
            <w:r w:rsidRPr="000A12DC">
              <w:rPr>
                <w:rFonts w:eastAsia="Times New Roman"/>
                <w:sz w:val="20"/>
                <w:szCs w:val="20"/>
              </w:rPr>
              <w:t>ч</w:t>
            </w:r>
            <w:proofErr w:type="gramEnd"/>
            <w:r w:rsidRPr="000A12DC">
              <w:rPr>
                <w:rFonts w:eastAsia="Times New Roman"/>
                <w:sz w:val="20"/>
                <w:szCs w:val="20"/>
              </w:rPr>
              <w:t xml:space="preserve"> на 1 проживающего</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604,39</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659,85</w:t>
            </w:r>
          </w:p>
        </w:tc>
      </w:tr>
      <w:tr w:rsidR="00AE6DE1" w:rsidRPr="000A12DC"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lastRenderedPageBreak/>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тепловая энергия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Гкал на 1 кв. метр общей площади</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0,17</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0,21</w:t>
            </w:r>
          </w:p>
        </w:tc>
      </w:tr>
      <w:tr w:rsidR="00AE6DE1" w:rsidRPr="000A12DC" w:rsidTr="009E04C4">
        <w:trPr>
          <w:trHeight w:val="692"/>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горячая вода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куб. метров на 1 проживающего</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9,52</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10,4</w:t>
            </w:r>
          </w:p>
        </w:tc>
      </w:tr>
      <w:tr w:rsidR="00AE6DE1" w:rsidRPr="000A12DC" w:rsidTr="009E04C4">
        <w:trPr>
          <w:trHeight w:val="71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холодная вода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куб. метров на 1 проживающего</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34,06</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37,29</w:t>
            </w:r>
          </w:p>
        </w:tc>
      </w:tr>
      <w:tr w:rsidR="00AE6DE1" w:rsidRPr="000A12DC" w:rsidTr="009E04C4">
        <w:trPr>
          <w:trHeight w:val="5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природный газ</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куб. метров на 1 проживающего</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114,83</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115,65</w:t>
            </w:r>
          </w:p>
        </w:tc>
      </w:tr>
      <w:tr w:rsidR="00AE6DE1" w:rsidRPr="000A12DC"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42.</w:t>
            </w:r>
          </w:p>
        </w:tc>
        <w:tc>
          <w:tcPr>
            <w:tcW w:w="7797" w:type="dxa"/>
            <w:gridSpan w:val="2"/>
            <w:tcBorders>
              <w:top w:val="single" w:sz="4" w:space="0" w:color="auto"/>
              <w:left w:val="nil"/>
              <w:bottom w:val="single" w:sz="4" w:space="0" w:color="auto"/>
              <w:right w:val="single" w:sz="4" w:space="0" w:color="auto"/>
            </w:tcBorders>
            <w:shd w:val="clear" w:color="auto" w:fill="auto"/>
            <w:hideMark/>
          </w:tcPr>
          <w:p w:rsidR="00AE6DE1" w:rsidRPr="000A12DC" w:rsidRDefault="00AE6DE1" w:rsidP="00685A59">
            <w:pPr>
              <w:rPr>
                <w:rFonts w:eastAsia="Times New Roman"/>
                <w:b/>
                <w:bCs/>
                <w:sz w:val="20"/>
                <w:szCs w:val="20"/>
              </w:rPr>
            </w:pPr>
            <w:r w:rsidRPr="000A12DC">
              <w:rPr>
                <w:rFonts w:eastAsia="Times New Roman"/>
                <w:b/>
                <w:bCs/>
                <w:sz w:val="20"/>
                <w:szCs w:val="20"/>
              </w:rPr>
              <w:t>Удельная величина потребления энергетических ресурсов муниципальными бюджетными учреждениями:</w:t>
            </w:r>
          </w:p>
        </w:tc>
        <w:tc>
          <w:tcPr>
            <w:tcW w:w="1134"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right"/>
              <w:rPr>
                <w:rFonts w:eastAsia="Times New Roman"/>
                <w:sz w:val="20"/>
                <w:szCs w:val="20"/>
              </w:rPr>
            </w:pPr>
            <w:r w:rsidRPr="000A12DC">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right"/>
              <w:rPr>
                <w:rFonts w:eastAsia="Times New Roman"/>
                <w:sz w:val="20"/>
                <w:szCs w:val="20"/>
              </w:rPr>
            </w:pPr>
            <w:r w:rsidRPr="000A12DC">
              <w:rPr>
                <w:rFonts w:eastAsia="Times New Roman"/>
                <w:sz w:val="20"/>
                <w:szCs w:val="20"/>
              </w:rPr>
              <w:t> </w:t>
            </w:r>
          </w:p>
        </w:tc>
      </w:tr>
      <w:tr w:rsidR="00AE6DE1" w:rsidRPr="000A12DC" w:rsidTr="009E04C4">
        <w:trPr>
          <w:trHeight w:val="72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электрическая энергия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кВт/</w:t>
            </w:r>
            <w:proofErr w:type="gramStart"/>
            <w:r w:rsidRPr="000A12DC">
              <w:rPr>
                <w:rFonts w:eastAsia="Times New Roman"/>
                <w:sz w:val="20"/>
                <w:szCs w:val="20"/>
              </w:rPr>
              <w:t>ч</w:t>
            </w:r>
            <w:proofErr w:type="gramEnd"/>
            <w:r w:rsidRPr="000A12DC">
              <w:rPr>
                <w:rFonts w:eastAsia="Times New Roman"/>
                <w:sz w:val="20"/>
                <w:szCs w:val="20"/>
              </w:rPr>
              <w:t xml:space="preserve"> на 1 человека населения</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56,82</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58,71</w:t>
            </w:r>
          </w:p>
        </w:tc>
      </w:tr>
      <w:tr w:rsidR="00AE6DE1" w:rsidRPr="000A12DC"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тепловая энергия</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Гкал на 1 кв. метр общей площади</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0,2</w:t>
            </w:r>
            <w:r w:rsidR="00C67FB3">
              <w:rPr>
                <w:rFonts w:eastAsia="Times New Roman"/>
                <w:sz w:val="20"/>
                <w:szCs w:val="20"/>
              </w:rPr>
              <w:t>8</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0,27</w:t>
            </w:r>
          </w:p>
        </w:tc>
      </w:tr>
      <w:tr w:rsidR="00AE6DE1" w:rsidRPr="000A12DC"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горячая вода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куб. метров на 1 человека населения</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0,65</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0,68</w:t>
            </w:r>
          </w:p>
        </w:tc>
      </w:tr>
      <w:tr w:rsidR="00AE6DE1" w:rsidRPr="000A12DC"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холодная вода</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куб. метров на 1 человека населения</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C67FB3">
            <w:pPr>
              <w:jc w:val="center"/>
              <w:rPr>
                <w:rFonts w:eastAsia="Times New Roman"/>
                <w:sz w:val="20"/>
                <w:szCs w:val="20"/>
              </w:rPr>
            </w:pPr>
            <w:r>
              <w:rPr>
                <w:rFonts w:eastAsia="Times New Roman"/>
                <w:sz w:val="20"/>
                <w:szCs w:val="20"/>
              </w:rPr>
              <w:t>1,1</w:t>
            </w:r>
          </w:p>
        </w:tc>
        <w:tc>
          <w:tcPr>
            <w:tcW w:w="1134" w:type="dxa"/>
            <w:tcBorders>
              <w:top w:val="nil"/>
              <w:left w:val="nil"/>
              <w:bottom w:val="single" w:sz="4" w:space="0" w:color="auto"/>
              <w:right w:val="single" w:sz="4" w:space="0" w:color="auto"/>
            </w:tcBorders>
            <w:shd w:val="clear" w:color="auto" w:fill="auto"/>
          </w:tcPr>
          <w:p w:rsidR="00AE6DE1" w:rsidRPr="000A12DC" w:rsidRDefault="00C67FB3" w:rsidP="00685A59">
            <w:pPr>
              <w:jc w:val="center"/>
              <w:rPr>
                <w:rFonts w:eastAsia="Times New Roman"/>
                <w:sz w:val="20"/>
                <w:szCs w:val="20"/>
              </w:rPr>
            </w:pPr>
            <w:r>
              <w:rPr>
                <w:rFonts w:eastAsia="Times New Roman"/>
                <w:sz w:val="20"/>
                <w:szCs w:val="20"/>
              </w:rPr>
              <w:t>1,1</w:t>
            </w:r>
          </w:p>
        </w:tc>
      </w:tr>
      <w:tr w:rsidR="00AE6DE1" w:rsidRPr="00757E46"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rsidR="00AE6DE1" w:rsidRPr="000A12DC" w:rsidRDefault="00AE6DE1" w:rsidP="00685A59">
            <w:pPr>
              <w:rPr>
                <w:rFonts w:eastAsia="Times New Roman"/>
                <w:sz w:val="20"/>
                <w:szCs w:val="20"/>
              </w:rPr>
            </w:pPr>
            <w:r w:rsidRPr="000A12DC">
              <w:rPr>
                <w:rFonts w:eastAsia="Times New Roman"/>
                <w:sz w:val="20"/>
                <w:szCs w:val="20"/>
              </w:rPr>
              <w:t>природный газ</w:t>
            </w:r>
          </w:p>
        </w:tc>
        <w:tc>
          <w:tcPr>
            <w:tcW w:w="1276" w:type="dxa"/>
            <w:tcBorders>
              <w:top w:val="nil"/>
              <w:left w:val="nil"/>
              <w:bottom w:val="single" w:sz="4" w:space="0" w:color="auto"/>
              <w:right w:val="single" w:sz="4" w:space="0" w:color="auto"/>
            </w:tcBorders>
            <w:shd w:val="clear" w:color="auto" w:fill="auto"/>
            <w:hideMark/>
          </w:tcPr>
          <w:p w:rsidR="00AE6DE1" w:rsidRPr="000A12DC" w:rsidRDefault="00AE6DE1" w:rsidP="00685A59">
            <w:pPr>
              <w:jc w:val="center"/>
              <w:rPr>
                <w:rFonts w:eastAsia="Times New Roman"/>
                <w:sz w:val="20"/>
                <w:szCs w:val="20"/>
              </w:rPr>
            </w:pPr>
            <w:r w:rsidRPr="000A12DC">
              <w:rPr>
                <w:rFonts w:eastAsia="Times New Roman"/>
                <w:sz w:val="20"/>
                <w:szCs w:val="20"/>
              </w:rPr>
              <w:t>куб. метров на 1 человека населения</w:t>
            </w:r>
          </w:p>
        </w:tc>
        <w:tc>
          <w:tcPr>
            <w:tcW w:w="1134" w:type="dxa"/>
            <w:tcBorders>
              <w:top w:val="nil"/>
              <w:left w:val="nil"/>
              <w:bottom w:val="single" w:sz="4" w:space="0" w:color="auto"/>
              <w:right w:val="single" w:sz="4" w:space="0" w:color="auto"/>
            </w:tcBorders>
            <w:shd w:val="clear" w:color="auto" w:fill="auto"/>
          </w:tcPr>
          <w:p w:rsidR="00AE6DE1" w:rsidRPr="000A12DC" w:rsidRDefault="00AE6DE1" w:rsidP="00685A59">
            <w:pPr>
              <w:jc w:val="center"/>
              <w:rPr>
                <w:rFonts w:eastAsia="Times New Roman"/>
                <w:sz w:val="20"/>
                <w:szCs w:val="20"/>
              </w:rPr>
            </w:pPr>
            <w:r>
              <w:rPr>
                <w:rFonts w:eastAsia="Times New Roman"/>
                <w:sz w:val="20"/>
                <w:szCs w:val="20"/>
              </w:rPr>
              <w:t>0,</w:t>
            </w:r>
            <w:r w:rsidR="00C67FB3">
              <w:rPr>
                <w:rFonts w:eastAsia="Times New Roman"/>
                <w:sz w:val="20"/>
                <w:szCs w:val="20"/>
              </w:rPr>
              <w:t>48</w:t>
            </w:r>
          </w:p>
        </w:tc>
        <w:tc>
          <w:tcPr>
            <w:tcW w:w="1134" w:type="dxa"/>
            <w:tcBorders>
              <w:top w:val="nil"/>
              <w:left w:val="nil"/>
              <w:bottom w:val="single" w:sz="4" w:space="0" w:color="auto"/>
              <w:right w:val="single" w:sz="4" w:space="0" w:color="auto"/>
            </w:tcBorders>
            <w:shd w:val="clear" w:color="auto" w:fill="auto"/>
          </w:tcPr>
          <w:p w:rsidR="00AE6DE1" w:rsidRPr="00757E46" w:rsidRDefault="00C67FB3" w:rsidP="00685A59">
            <w:pPr>
              <w:jc w:val="center"/>
              <w:rPr>
                <w:rFonts w:eastAsia="Times New Roman"/>
                <w:sz w:val="20"/>
                <w:szCs w:val="20"/>
              </w:rPr>
            </w:pPr>
            <w:r>
              <w:rPr>
                <w:rFonts w:eastAsia="Times New Roman"/>
                <w:sz w:val="20"/>
                <w:szCs w:val="20"/>
              </w:rPr>
              <w:t>0,51</w:t>
            </w:r>
          </w:p>
        </w:tc>
      </w:tr>
    </w:tbl>
    <w:p w:rsidR="00757E46" w:rsidRDefault="00757E46" w:rsidP="007E004A">
      <w:pPr>
        <w:pStyle w:val="ConsPlusNormal"/>
        <w:ind w:right="72" w:firstLine="0"/>
        <w:jc w:val="center"/>
        <w:rPr>
          <w:rFonts w:ascii="Times New Roman" w:hAnsi="Times New Roman"/>
          <w:b/>
          <w:sz w:val="24"/>
          <w:szCs w:val="24"/>
        </w:rPr>
        <w:sectPr w:rsidR="00757E46" w:rsidSect="002334E3">
          <w:headerReference w:type="even" r:id="rId9"/>
          <w:headerReference w:type="default" r:id="rId10"/>
          <w:footerReference w:type="even" r:id="rId11"/>
          <w:footerReference w:type="default" r:id="rId12"/>
          <w:headerReference w:type="first" r:id="rId13"/>
          <w:footerReference w:type="first" r:id="rId14"/>
          <w:pgSz w:w="11906" w:h="16838"/>
          <w:pgMar w:top="542" w:right="737" w:bottom="567" w:left="1418" w:header="138" w:footer="283" w:gutter="0"/>
          <w:cols w:space="708"/>
          <w:docGrid w:linePitch="360"/>
        </w:sectPr>
      </w:pPr>
    </w:p>
    <w:p w:rsidR="007E004A" w:rsidRPr="00685A59" w:rsidRDefault="007E004A" w:rsidP="007E004A">
      <w:pPr>
        <w:pStyle w:val="ConsPlusNormal"/>
        <w:ind w:right="72" w:firstLine="0"/>
        <w:jc w:val="center"/>
        <w:rPr>
          <w:rFonts w:ascii="Times New Roman" w:hAnsi="Times New Roman" w:cs="Times New Roman"/>
          <w:b/>
          <w:sz w:val="20"/>
          <w:szCs w:val="20"/>
        </w:rPr>
      </w:pPr>
      <w:r w:rsidRPr="00685A59">
        <w:rPr>
          <w:rFonts w:ascii="Times New Roman" w:hAnsi="Times New Roman"/>
          <w:b/>
          <w:sz w:val="20"/>
          <w:szCs w:val="20"/>
        </w:rPr>
        <w:lastRenderedPageBreak/>
        <w:t xml:space="preserve">Пояснительная записка </w:t>
      </w:r>
    </w:p>
    <w:p w:rsidR="007E004A" w:rsidRPr="00685A59" w:rsidRDefault="007E004A" w:rsidP="007E004A">
      <w:pPr>
        <w:pStyle w:val="ConsPlusNormal"/>
        <w:ind w:right="72" w:firstLine="0"/>
        <w:jc w:val="center"/>
        <w:rPr>
          <w:rFonts w:ascii="Times New Roman" w:hAnsi="Times New Roman" w:cs="Times New Roman"/>
          <w:b/>
          <w:sz w:val="20"/>
          <w:szCs w:val="20"/>
          <w:highlight w:val="yellow"/>
        </w:rPr>
      </w:pPr>
    </w:p>
    <w:p w:rsidR="007E004A" w:rsidRPr="00685A59" w:rsidRDefault="007E004A" w:rsidP="007E004A">
      <w:pPr>
        <w:ind w:firstLine="567"/>
        <w:jc w:val="both"/>
        <w:rPr>
          <w:sz w:val="20"/>
          <w:szCs w:val="20"/>
        </w:rPr>
      </w:pPr>
      <w:r w:rsidRPr="00685A59">
        <w:rPr>
          <w:sz w:val="20"/>
          <w:szCs w:val="20"/>
        </w:rPr>
        <w:t>Ежегодный отчет о работе главы муниципального образования городского округа «Сыктывкар» - руководителя администрации подготовлен в соответствии с Решением Совета МО ГО «Сыктывкар» от 03.03.2017 № 18/2017-214 «Об утверждении положения о порядке проведения конкурса на замещение должности главы муниципального образования городского округа «Сыктывкар» - руководителя администрации».</w:t>
      </w:r>
    </w:p>
    <w:p w:rsidR="007E004A" w:rsidRPr="00685A59" w:rsidRDefault="007E004A" w:rsidP="007E004A">
      <w:pPr>
        <w:ind w:firstLine="567"/>
        <w:jc w:val="both"/>
        <w:rPr>
          <w:sz w:val="20"/>
          <w:szCs w:val="20"/>
        </w:rPr>
      </w:pPr>
      <w:r w:rsidRPr="00685A59">
        <w:rPr>
          <w:sz w:val="20"/>
          <w:szCs w:val="20"/>
        </w:rPr>
        <w:t xml:space="preserve">Доклад представляет собой </w:t>
      </w:r>
      <w:r w:rsidR="000C6017" w:rsidRPr="00685A59">
        <w:rPr>
          <w:sz w:val="20"/>
          <w:szCs w:val="20"/>
        </w:rPr>
        <w:t xml:space="preserve">сравнительный </w:t>
      </w:r>
      <w:r w:rsidRPr="00685A59">
        <w:rPr>
          <w:sz w:val="20"/>
          <w:szCs w:val="20"/>
        </w:rPr>
        <w:t>анализ показателей в различных сферах общественной и социально-экономической жизни муниципального образования городского округа «Сыктывкар» за 20</w:t>
      </w:r>
      <w:r w:rsidR="00D65C60" w:rsidRPr="00685A59">
        <w:rPr>
          <w:sz w:val="20"/>
          <w:szCs w:val="20"/>
        </w:rPr>
        <w:t>2</w:t>
      </w:r>
      <w:r w:rsidR="00CD4ABF">
        <w:rPr>
          <w:sz w:val="20"/>
          <w:szCs w:val="20"/>
        </w:rPr>
        <w:t>1</w:t>
      </w:r>
      <w:r w:rsidRPr="00685A59">
        <w:rPr>
          <w:sz w:val="20"/>
          <w:szCs w:val="20"/>
        </w:rPr>
        <w:t xml:space="preserve"> и 20</w:t>
      </w:r>
      <w:r w:rsidR="00BF4048" w:rsidRPr="00685A59">
        <w:rPr>
          <w:sz w:val="20"/>
          <w:szCs w:val="20"/>
        </w:rPr>
        <w:t>2</w:t>
      </w:r>
      <w:r w:rsidR="00CD4ABF">
        <w:rPr>
          <w:sz w:val="20"/>
          <w:szCs w:val="20"/>
        </w:rPr>
        <w:t>2</w:t>
      </w:r>
      <w:r w:rsidRPr="00685A59">
        <w:rPr>
          <w:sz w:val="20"/>
          <w:szCs w:val="20"/>
        </w:rPr>
        <w:t xml:space="preserve"> годы.</w:t>
      </w:r>
    </w:p>
    <w:p w:rsidR="007E004A" w:rsidRPr="00685A59" w:rsidRDefault="007E004A" w:rsidP="007E004A">
      <w:pPr>
        <w:ind w:firstLine="567"/>
        <w:jc w:val="both"/>
        <w:rPr>
          <w:sz w:val="20"/>
          <w:szCs w:val="20"/>
        </w:rPr>
      </w:pPr>
      <w:r w:rsidRPr="00685A59">
        <w:rPr>
          <w:sz w:val="20"/>
          <w:szCs w:val="20"/>
        </w:rPr>
        <w:t>В качестве исходных данных использовались статистические данные, отчеты подразделений и подведомственных структур администрации МО ГО «Сыктывкар».</w:t>
      </w:r>
    </w:p>
    <w:p w:rsidR="00D94C95" w:rsidRPr="00685A59" w:rsidRDefault="00D94C95" w:rsidP="00D94C95">
      <w:pPr>
        <w:tabs>
          <w:tab w:val="center" w:pos="7632"/>
        </w:tabs>
        <w:ind w:right="72"/>
        <w:jc w:val="both"/>
        <w:rPr>
          <w:sz w:val="20"/>
          <w:szCs w:val="20"/>
        </w:rPr>
      </w:pPr>
    </w:p>
    <w:p w:rsidR="000C6017" w:rsidRDefault="000C6017" w:rsidP="000C6017">
      <w:pPr>
        <w:tabs>
          <w:tab w:val="center" w:pos="7632"/>
        </w:tabs>
        <w:ind w:right="72"/>
        <w:jc w:val="center"/>
        <w:rPr>
          <w:b/>
          <w:sz w:val="20"/>
          <w:szCs w:val="20"/>
        </w:rPr>
      </w:pPr>
      <w:r w:rsidRPr="00685A59">
        <w:rPr>
          <w:b/>
          <w:sz w:val="20"/>
          <w:szCs w:val="20"/>
        </w:rPr>
        <w:t>1. Экономическое развитие</w:t>
      </w:r>
    </w:p>
    <w:p w:rsidR="00685A59" w:rsidRPr="00685A59" w:rsidRDefault="00685A59" w:rsidP="000C6017">
      <w:pPr>
        <w:tabs>
          <w:tab w:val="center" w:pos="7632"/>
        </w:tabs>
        <w:ind w:right="72"/>
        <w:jc w:val="center"/>
        <w:rPr>
          <w:b/>
          <w:sz w:val="20"/>
          <w:szCs w:val="20"/>
        </w:rPr>
      </w:pPr>
    </w:p>
    <w:p w:rsidR="000C6017" w:rsidRPr="00685A59" w:rsidRDefault="000C6017" w:rsidP="000C6017">
      <w:pPr>
        <w:tabs>
          <w:tab w:val="center" w:pos="7632"/>
        </w:tabs>
        <w:ind w:firstLine="709"/>
        <w:jc w:val="both"/>
        <w:rPr>
          <w:sz w:val="20"/>
          <w:szCs w:val="20"/>
        </w:rPr>
      </w:pPr>
      <w:r w:rsidRPr="00685A59">
        <w:rPr>
          <w:sz w:val="20"/>
          <w:szCs w:val="20"/>
        </w:rPr>
        <w:t xml:space="preserve">МО ГО «Сыктывкар» расположено на Северо-Востоке Европейской части России в пределах </w:t>
      </w:r>
      <w:proofErr w:type="spellStart"/>
      <w:r w:rsidRPr="00685A59">
        <w:rPr>
          <w:sz w:val="20"/>
          <w:szCs w:val="20"/>
        </w:rPr>
        <w:t>Мезенско</w:t>
      </w:r>
      <w:proofErr w:type="spellEnd"/>
      <w:r w:rsidRPr="00685A59">
        <w:rPr>
          <w:sz w:val="20"/>
          <w:szCs w:val="20"/>
        </w:rPr>
        <w:t>-Вычегодской низменности. Географические координаты города определяются 61-40' северной широты и 50-51' восточной долготы. Минимальная высота над уровнем моря 75 метров, максимальная - 172 метра. Территория МО ГО «Сыктывкар» расположена в юго-западной части Республики Коми в бассейне рек Сысола и Вычегда, граничит с муниципальными образованиями муниципальных районов «</w:t>
      </w:r>
      <w:proofErr w:type="spellStart"/>
      <w:r w:rsidRPr="00685A59">
        <w:rPr>
          <w:sz w:val="20"/>
          <w:szCs w:val="20"/>
        </w:rPr>
        <w:t>Сыктывдинский</w:t>
      </w:r>
      <w:proofErr w:type="spellEnd"/>
      <w:r w:rsidRPr="00685A59">
        <w:rPr>
          <w:sz w:val="20"/>
          <w:szCs w:val="20"/>
        </w:rPr>
        <w:t>» и «Корткеросский».</w:t>
      </w:r>
    </w:p>
    <w:p w:rsidR="00A66AFC" w:rsidRPr="00685A59" w:rsidRDefault="00A66AFC" w:rsidP="00A66AFC">
      <w:pPr>
        <w:tabs>
          <w:tab w:val="center" w:pos="7632"/>
        </w:tabs>
        <w:ind w:firstLine="709"/>
        <w:jc w:val="both"/>
        <w:rPr>
          <w:sz w:val="20"/>
          <w:szCs w:val="20"/>
        </w:rPr>
      </w:pPr>
      <w:r w:rsidRPr="00685A59">
        <w:rPr>
          <w:sz w:val="20"/>
          <w:szCs w:val="20"/>
        </w:rPr>
        <w:t xml:space="preserve">В состав единого муниципального образования городского округа на территории города Сыктывкар с подчиненной ему территорией входят: город республиканского значения Сыктывкар, поселки городского типа Верхняя Максаковка, Краснозатонский, Седкыркещ, поселки сельского типа Верхний </w:t>
      </w:r>
      <w:proofErr w:type="spellStart"/>
      <w:r w:rsidRPr="00685A59">
        <w:rPr>
          <w:sz w:val="20"/>
          <w:szCs w:val="20"/>
        </w:rPr>
        <w:t>Мырты</w:t>
      </w:r>
      <w:proofErr w:type="spellEnd"/>
      <w:r w:rsidRPr="00685A59">
        <w:rPr>
          <w:sz w:val="20"/>
          <w:szCs w:val="20"/>
        </w:rPr>
        <w:t xml:space="preserve">-Ю, </w:t>
      </w:r>
      <w:proofErr w:type="spellStart"/>
      <w:r w:rsidRPr="00685A59">
        <w:rPr>
          <w:sz w:val="20"/>
          <w:szCs w:val="20"/>
        </w:rPr>
        <w:t>Выльтыдор</w:t>
      </w:r>
      <w:proofErr w:type="spellEnd"/>
      <w:r w:rsidRPr="00685A59">
        <w:rPr>
          <w:sz w:val="20"/>
          <w:szCs w:val="20"/>
        </w:rPr>
        <w:t xml:space="preserve">, </w:t>
      </w:r>
      <w:proofErr w:type="spellStart"/>
      <w:r w:rsidRPr="00685A59">
        <w:rPr>
          <w:sz w:val="20"/>
          <w:szCs w:val="20"/>
        </w:rPr>
        <w:t>Трехозерка</w:t>
      </w:r>
      <w:proofErr w:type="spellEnd"/>
      <w:r w:rsidRPr="00685A59">
        <w:rPr>
          <w:sz w:val="20"/>
          <w:szCs w:val="20"/>
        </w:rPr>
        <w:t>. В целях наиболее эффективной организации муниципального образования городского округа «Сыктывкар» выделен Эжвинский район.</w:t>
      </w:r>
    </w:p>
    <w:p w:rsidR="00CD4ABF" w:rsidRPr="00CD4ABF" w:rsidRDefault="00CD4ABF" w:rsidP="00CD4ABF">
      <w:pPr>
        <w:pStyle w:val="Style2"/>
        <w:ind w:firstLine="567"/>
        <w:jc w:val="both"/>
        <w:rPr>
          <w:rFonts w:eastAsia="Calibri"/>
          <w:sz w:val="20"/>
          <w:szCs w:val="20"/>
        </w:rPr>
      </w:pPr>
      <w:r w:rsidRPr="00CD4ABF">
        <w:rPr>
          <w:rFonts w:eastAsia="Calibri"/>
          <w:sz w:val="20"/>
          <w:szCs w:val="20"/>
        </w:rPr>
        <w:t>Согласно данных территориального органа Федеральной службы государственной статистики по Республике Коми (</w:t>
      </w:r>
      <w:proofErr w:type="spellStart"/>
      <w:r w:rsidRPr="00CD4ABF">
        <w:rPr>
          <w:rFonts w:eastAsia="Calibri"/>
          <w:sz w:val="20"/>
          <w:szCs w:val="20"/>
        </w:rPr>
        <w:t>Комистат</w:t>
      </w:r>
      <w:proofErr w:type="spellEnd"/>
      <w:r w:rsidRPr="00CD4ABF">
        <w:rPr>
          <w:rFonts w:eastAsia="Calibri"/>
          <w:sz w:val="20"/>
          <w:szCs w:val="20"/>
        </w:rPr>
        <w:t xml:space="preserve">) численность населения МО ГО «Сыктывкар» по результатам Всероссийской переписи населения-2020 составила 233,4 тыс. человек. </w:t>
      </w:r>
    </w:p>
    <w:p w:rsidR="00CD4ABF" w:rsidRDefault="00CD4ABF" w:rsidP="00CD4ABF">
      <w:pPr>
        <w:pStyle w:val="Style2"/>
        <w:widowControl/>
        <w:ind w:firstLine="567"/>
        <w:jc w:val="both"/>
        <w:rPr>
          <w:rFonts w:eastAsia="Calibri"/>
          <w:sz w:val="20"/>
          <w:szCs w:val="20"/>
        </w:rPr>
      </w:pPr>
      <w:r w:rsidRPr="00CD4ABF">
        <w:rPr>
          <w:rFonts w:eastAsia="Calibri"/>
          <w:sz w:val="20"/>
          <w:szCs w:val="20"/>
        </w:rPr>
        <w:t>Одной из приоритетных задач социально-экономического развития МО ГО «Сыктывкар» является развитие предпринимательства.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 стабильность налоговых поступлений.</w:t>
      </w:r>
    </w:p>
    <w:p w:rsidR="00CD4ABF" w:rsidRPr="00CD4ABF" w:rsidRDefault="00CD4ABF" w:rsidP="00CD4ABF">
      <w:pPr>
        <w:pBdr>
          <w:top w:val="nil"/>
          <w:left w:val="nil"/>
          <w:bottom w:val="nil"/>
          <w:right w:val="nil"/>
          <w:between w:val="nil"/>
        </w:pBdr>
        <w:tabs>
          <w:tab w:val="left" w:pos="142"/>
        </w:tabs>
        <w:ind w:firstLine="709"/>
        <w:jc w:val="both"/>
        <w:rPr>
          <w:rStyle w:val="FontStyle17"/>
          <w:rFonts w:eastAsia="Times New Roman"/>
          <w:iCs/>
          <w:sz w:val="20"/>
          <w:szCs w:val="20"/>
        </w:rPr>
      </w:pPr>
      <w:r w:rsidRPr="00CD4ABF">
        <w:rPr>
          <w:rStyle w:val="FontStyle17"/>
          <w:rFonts w:eastAsia="Times New Roman"/>
          <w:iCs/>
          <w:sz w:val="20"/>
          <w:szCs w:val="20"/>
        </w:rPr>
        <w:t>Сплошное наблюдение за деятельностью малого и среднего предпринимательства проводится 1 раз в 5 лет, очередное проведено в 2021 году. Согласно данных наблюдения:</w:t>
      </w:r>
    </w:p>
    <w:p w:rsidR="00CD4ABF" w:rsidRPr="00CD4ABF" w:rsidRDefault="00CD4ABF" w:rsidP="00CD4ABF">
      <w:pPr>
        <w:pBdr>
          <w:top w:val="nil"/>
          <w:left w:val="nil"/>
          <w:bottom w:val="nil"/>
          <w:right w:val="nil"/>
          <w:between w:val="nil"/>
        </w:pBdr>
        <w:tabs>
          <w:tab w:val="left" w:pos="142"/>
        </w:tabs>
        <w:ind w:firstLine="709"/>
        <w:jc w:val="both"/>
        <w:rPr>
          <w:rStyle w:val="FontStyle17"/>
          <w:rFonts w:eastAsia="Times New Roman"/>
          <w:i/>
          <w:iCs/>
          <w:sz w:val="20"/>
          <w:szCs w:val="20"/>
        </w:rPr>
      </w:pPr>
      <w:r w:rsidRPr="00CD4ABF">
        <w:rPr>
          <w:rStyle w:val="FontStyle17"/>
          <w:rFonts w:eastAsia="Times New Roman"/>
          <w:i/>
          <w:iCs/>
          <w:sz w:val="20"/>
          <w:szCs w:val="20"/>
        </w:rPr>
        <w:t>Число субъектов малого и среднего предпринимательства в расчете на 10 тыс. человек населения составило 365,5 единиц, что на 21% ниже уровня 2016 года.</w:t>
      </w:r>
    </w:p>
    <w:p w:rsidR="00CD4ABF" w:rsidRPr="00CD4ABF" w:rsidRDefault="00CD4ABF" w:rsidP="00CD4ABF">
      <w:pPr>
        <w:pBdr>
          <w:top w:val="nil"/>
          <w:left w:val="nil"/>
          <w:bottom w:val="nil"/>
          <w:right w:val="nil"/>
          <w:between w:val="nil"/>
        </w:pBdr>
        <w:tabs>
          <w:tab w:val="left" w:pos="142"/>
        </w:tabs>
        <w:ind w:firstLine="709"/>
        <w:jc w:val="both"/>
        <w:rPr>
          <w:rStyle w:val="FontStyle17"/>
          <w:rFonts w:eastAsia="Times New Roman"/>
          <w:i/>
          <w:iCs/>
          <w:sz w:val="20"/>
          <w:szCs w:val="20"/>
        </w:rPr>
      </w:pPr>
      <w:r w:rsidRPr="00CD4ABF">
        <w:rPr>
          <w:rStyle w:val="FontStyle17"/>
          <w:rFonts w:eastAsia="Times New Roman"/>
          <w:i/>
          <w:iCs/>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21,5%, что на 17% ниже уровня 2016 года. </w:t>
      </w:r>
    </w:p>
    <w:p w:rsidR="00CD4ABF" w:rsidRPr="00CD4ABF" w:rsidRDefault="00CD4ABF" w:rsidP="00CD4ABF">
      <w:pPr>
        <w:pBdr>
          <w:top w:val="nil"/>
          <w:left w:val="nil"/>
          <w:bottom w:val="nil"/>
          <w:right w:val="nil"/>
          <w:between w:val="nil"/>
        </w:pBdr>
        <w:tabs>
          <w:tab w:val="left" w:pos="142"/>
        </w:tabs>
        <w:ind w:firstLine="709"/>
        <w:jc w:val="both"/>
        <w:rPr>
          <w:rStyle w:val="FontStyle17"/>
          <w:rFonts w:eastAsia="Times New Roman"/>
          <w:iCs/>
          <w:sz w:val="20"/>
          <w:szCs w:val="20"/>
        </w:rPr>
      </w:pPr>
      <w:r w:rsidRPr="00CD4ABF">
        <w:rPr>
          <w:rStyle w:val="FontStyle17"/>
          <w:rFonts w:eastAsia="Times New Roman"/>
          <w:iCs/>
          <w:sz w:val="20"/>
          <w:szCs w:val="20"/>
        </w:rPr>
        <w:t xml:space="preserve">Малое и среднее предпринимательство в МО ГО «Сыктывкар» по данным Реестра субъектов малого и среднего предпринимательства (сайт ИФНС России) по состоянию на 1 января 2023 года представляют 10 299 хозяйствующих субъекта, из них: </w:t>
      </w:r>
    </w:p>
    <w:p w:rsidR="00CD4ABF" w:rsidRPr="00CD4ABF" w:rsidRDefault="00CD4ABF" w:rsidP="00CD4ABF">
      <w:pPr>
        <w:pBdr>
          <w:top w:val="nil"/>
          <w:left w:val="nil"/>
          <w:bottom w:val="nil"/>
          <w:right w:val="nil"/>
          <w:between w:val="nil"/>
        </w:pBdr>
        <w:tabs>
          <w:tab w:val="left" w:pos="142"/>
        </w:tabs>
        <w:ind w:firstLine="709"/>
        <w:jc w:val="both"/>
        <w:rPr>
          <w:rStyle w:val="FontStyle17"/>
          <w:rFonts w:eastAsia="Times New Roman"/>
          <w:iCs/>
          <w:sz w:val="20"/>
          <w:szCs w:val="20"/>
        </w:rPr>
      </w:pPr>
      <w:r w:rsidRPr="00CD4ABF">
        <w:rPr>
          <w:rStyle w:val="FontStyle17"/>
          <w:rFonts w:eastAsia="Times New Roman"/>
          <w:iCs/>
          <w:sz w:val="20"/>
          <w:szCs w:val="20"/>
        </w:rPr>
        <w:t xml:space="preserve"> 4 275 - юридические лица (24 средних предприятий, 324 малых предприятий, 3 927 </w:t>
      </w:r>
      <w:proofErr w:type="spellStart"/>
      <w:r w:rsidRPr="00CD4ABF">
        <w:rPr>
          <w:rStyle w:val="FontStyle17"/>
          <w:rFonts w:eastAsia="Times New Roman"/>
          <w:iCs/>
          <w:sz w:val="20"/>
          <w:szCs w:val="20"/>
        </w:rPr>
        <w:t>микропредприятий</w:t>
      </w:r>
      <w:proofErr w:type="spellEnd"/>
      <w:r w:rsidRPr="00CD4ABF">
        <w:rPr>
          <w:rStyle w:val="FontStyle17"/>
          <w:rFonts w:eastAsia="Times New Roman"/>
          <w:iCs/>
          <w:sz w:val="20"/>
          <w:szCs w:val="20"/>
        </w:rPr>
        <w:t>);</w:t>
      </w:r>
    </w:p>
    <w:p w:rsidR="00CD4ABF" w:rsidRPr="00CD4ABF" w:rsidRDefault="00CD4ABF" w:rsidP="00CD4ABF">
      <w:pPr>
        <w:pBdr>
          <w:top w:val="nil"/>
          <w:left w:val="nil"/>
          <w:bottom w:val="nil"/>
          <w:right w:val="nil"/>
          <w:between w:val="nil"/>
        </w:pBdr>
        <w:tabs>
          <w:tab w:val="left" w:pos="142"/>
        </w:tabs>
        <w:ind w:firstLine="709"/>
        <w:jc w:val="both"/>
        <w:rPr>
          <w:rStyle w:val="FontStyle17"/>
          <w:rFonts w:eastAsia="Times New Roman"/>
          <w:iCs/>
          <w:sz w:val="20"/>
          <w:szCs w:val="20"/>
        </w:rPr>
      </w:pPr>
      <w:r w:rsidRPr="00CD4ABF">
        <w:rPr>
          <w:rStyle w:val="FontStyle17"/>
          <w:rFonts w:eastAsia="Times New Roman"/>
          <w:iCs/>
          <w:sz w:val="20"/>
          <w:szCs w:val="20"/>
        </w:rPr>
        <w:t xml:space="preserve"> 6 024 - индивидуальные предприниматели (52 малых предприятий, 5 972 </w:t>
      </w:r>
      <w:proofErr w:type="spellStart"/>
      <w:r w:rsidRPr="00CD4ABF">
        <w:rPr>
          <w:rStyle w:val="FontStyle17"/>
          <w:rFonts w:eastAsia="Times New Roman"/>
          <w:iCs/>
          <w:sz w:val="20"/>
          <w:szCs w:val="20"/>
        </w:rPr>
        <w:t>микропредприятий</w:t>
      </w:r>
      <w:proofErr w:type="spellEnd"/>
      <w:r w:rsidRPr="00CD4ABF">
        <w:rPr>
          <w:rStyle w:val="FontStyle17"/>
          <w:rFonts w:eastAsia="Times New Roman"/>
          <w:iCs/>
          <w:sz w:val="20"/>
          <w:szCs w:val="20"/>
        </w:rPr>
        <w:t>).</w:t>
      </w:r>
    </w:p>
    <w:p w:rsidR="00CD4ABF" w:rsidRPr="00CD4ABF" w:rsidRDefault="00CD4ABF" w:rsidP="00CD4ABF">
      <w:pPr>
        <w:pBdr>
          <w:top w:val="nil"/>
          <w:left w:val="nil"/>
          <w:bottom w:val="nil"/>
          <w:right w:val="nil"/>
          <w:between w:val="nil"/>
        </w:pBdr>
        <w:tabs>
          <w:tab w:val="left" w:pos="142"/>
        </w:tabs>
        <w:ind w:firstLine="709"/>
        <w:jc w:val="both"/>
        <w:rPr>
          <w:rFonts w:eastAsia="Times New Roman"/>
          <w:sz w:val="20"/>
          <w:szCs w:val="20"/>
        </w:rPr>
      </w:pPr>
      <w:r w:rsidRPr="00CD4ABF">
        <w:rPr>
          <w:rFonts w:eastAsia="Times New Roman"/>
          <w:sz w:val="20"/>
          <w:szCs w:val="20"/>
        </w:rPr>
        <w:t xml:space="preserve">Из общего количества юридических лиц, ведущих свою деятельность на территории МО ГО «Сыктывкар», почти 100% составляют малые и </w:t>
      </w:r>
      <w:proofErr w:type="spellStart"/>
      <w:r w:rsidRPr="00CD4ABF">
        <w:rPr>
          <w:rFonts w:eastAsia="Times New Roman"/>
          <w:sz w:val="20"/>
          <w:szCs w:val="20"/>
        </w:rPr>
        <w:t>микропредприятия</w:t>
      </w:r>
      <w:proofErr w:type="spellEnd"/>
      <w:r w:rsidRPr="00CD4ABF">
        <w:rPr>
          <w:rFonts w:eastAsia="Times New Roman"/>
          <w:sz w:val="20"/>
          <w:szCs w:val="20"/>
        </w:rPr>
        <w:t>.</w:t>
      </w:r>
    </w:p>
    <w:p w:rsidR="00CD4ABF" w:rsidRPr="00CD4ABF" w:rsidRDefault="00CD4ABF" w:rsidP="00CD4ABF">
      <w:pPr>
        <w:pBdr>
          <w:top w:val="nil"/>
          <w:left w:val="nil"/>
          <w:bottom w:val="nil"/>
          <w:right w:val="nil"/>
          <w:between w:val="nil"/>
        </w:pBdr>
        <w:tabs>
          <w:tab w:val="left" w:pos="142"/>
        </w:tabs>
        <w:ind w:firstLine="709"/>
        <w:jc w:val="both"/>
        <w:rPr>
          <w:rFonts w:eastAsia="Times New Roman"/>
          <w:sz w:val="20"/>
          <w:szCs w:val="20"/>
        </w:rPr>
      </w:pPr>
      <w:r w:rsidRPr="00CD4ABF">
        <w:rPr>
          <w:rFonts w:eastAsia="Times New Roman"/>
          <w:sz w:val="20"/>
          <w:szCs w:val="20"/>
        </w:rPr>
        <w:t>Численность занятых в сфере малого и среднего предпринимательства, включая совместителей и лиц, работающих по договорам гражданско-правового характера, а также индивидуальных предпринимателей, составляет 21,5% от общего числа занятых в экономике города.</w:t>
      </w:r>
    </w:p>
    <w:p w:rsidR="00CD4ABF" w:rsidRPr="00CD4ABF" w:rsidRDefault="00CD4ABF" w:rsidP="00CD4ABF">
      <w:pPr>
        <w:pBdr>
          <w:top w:val="nil"/>
          <w:left w:val="nil"/>
          <w:bottom w:val="nil"/>
          <w:right w:val="nil"/>
          <w:between w:val="nil"/>
        </w:pBdr>
        <w:tabs>
          <w:tab w:val="left" w:pos="142"/>
        </w:tabs>
        <w:ind w:firstLine="709"/>
        <w:jc w:val="both"/>
        <w:rPr>
          <w:rFonts w:eastAsia="Times New Roman"/>
          <w:sz w:val="20"/>
          <w:szCs w:val="20"/>
        </w:rPr>
      </w:pPr>
      <w:r w:rsidRPr="00CD4ABF">
        <w:rPr>
          <w:rFonts w:eastAsia="Times New Roman"/>
          <w:sz w:val="20"/>
          <w:szCs w:val="20"/>
        </w:rPr>
        <w:t>Оборот малых и средних предприятий города за 2021 год составил 115 925,4 млн. рублей (45,6% по Республике Коми). Информация об обороте малых и средних предприятий города за 2018-2020 годы отсутствует по причине проведения сплошного наблюдения 1 раз в 5 лет.</w:t>
      </w:r>
    </w:p>
    <w:p w:rsidR="00CD4ABF" w:rsidRPr="00CD4ABF" w:rsidRDefault="00CD4ABF" w:rsidP="00CD4ABF">
      <w:pPr>
        <w:pBdr>
          <w:top w:val="nil"/>
          <w:left w:val="nil"/>
          <w:bottom w:val="nil"/>
          <w:right w:val="nil"/>
          <w:between w:val="nil"/>
        </w:pBdr>
        <w:tabs>
          <w:tab w:val="left" w:pos="142"/>
        </w:tabs>
        <w:ind w:firstLine="709"/>
        <w:jc w:val="both"/>
        <w:rPr>
          <w:rFonts w:eastAsia="Times New Roman"/>
          <w:sz w:val="20"/>
          <w:szCs w:val="20"/>
        </w:rPr>
      </w:pPr>
      <w:r w:rsidRPr="00CD4ABF">
        <w:rPr>
          <w:rFonts w:eastAsia="Times New Roman"/>
          <w:sz w:val="20"/>
          <w:szCs w:val="20"/>
        </w:rPr>
        <w:t xml:space="preserve">На показатели развития малого и среднего предпринимательства в 2022 году повлияла сложная экономическая ситуация, сложившаяся из-за высокого </w:t>
      </w:r>
      <w:proofErr w:type="spellStart"/>
      <w:r w:rsidRPr="00CD4ABF">
        <w:rPr>
          <w:rFonts w:eastAsia="Times New Roman"/>
          <w:sz w:val="20"/>
          <w:szCs w:val="20"/>
        </w:rPr>
        <w:t>санкционного</w:t>
      </w:r>
      <w:proofErr w:type="spellEnd"/>
      <w:r w:rsidRPr="00CD4ABF">
        <w:rPr>
          <w:rFonts w:eastAsia="Times New Roman"/>
          <w:sz w:val="20"/>
          <w:szCs w:val="20"/>
        </w:rPr>
        <w:t xml:space="preserve"> давления, нарушения логистических цепочек и продолжения действия ограничений и требований к ведению бизнеса по причине распространения новой </w:t>
      </w:r>
      <w:proofErr w:type="spellStart"/>
      <w:r w:rsidRPr="00CD4ABF">
        <w:rPr>
          <w:rFonts w:eastAsia="Times New Roman"/>
          <w:sz w:val="20"/>
          <w:szCs w:val="20"/>
        </w:rPr>
        <w:t>коронавирусной</w:t>
      </w:r>
      <w:proofErr w:type="spellEnd"/>
      <w:r w:rsidRPr="00CD4ABF">
        <w:rPr>
          <w:rFonts w:eastAsia="Times New Roman"/>
          <w:sz w:val="20"/>
          <w:szCs w:val="20"/>
        </w:rPr>
        <w:t xml:space="preserve"> инфекции. </w:t>
      </w:r>
    </w:p>
    <w:p w:rsidR="00CD4ABF" w:rsidRPr="00CD4ABF" w:rsidRDefault="00CD4ABF" w:rsidP="00CD4ABF">
      <w:pPr>
        <w:pBdr>
          <w:top w:val="nil"/>
          <w:left w:val="nil"/>
          <w:bottom w:val="nil"/>
          <w:right w:val="nil"/>
          <w:between w:val="nil"/>
        </w:pBdr>
        <w:tabs>
          <w:tab w:val="left" w:pos="142"/>
        </w:tabs>
        <w:ind w:firstLine="709"/>
        <w:jc w:val="both"/>
        <w:rPr>
          <w:rFonts w:eastAsia="Times New Roman"/>
          <w:sz w:val="20"/>
          <w:szCs w:val="20"/>
        </w:rPr>
      </w:pPr>
      <w:r w:rsidRPr="00CD4ABF">
        <w:rPr>
          <w:rFonts w:eastAsia="Times New Roman"/>
          <w:sz w:val="20"/>
          <w:szCs w:val="20"/>
        </w:rPr>
        <w:t>Часть предпринимателей перешла из статуса «индивидуального предпринимателя» в статус «</w:t>
      </w:r>
      <w:proofErr w:type="spellStart"/>
      <w:r w:rsidRPr="00CD4ABF">
        <w:rPr>
          <w:rFonts w:eastAsia="Times New Roman"/>
          <w:sz w:val="20"/>
          <w:szCs w:val="20"/>
        </w:rPr>
        <w:t>самозанятого</w:t>
      </w:r>
      <w:proofErr w:type="spellEnd"/>
      <w:r w:rsidRPr="00CD4ABF">
        <w:rPr>
          <w:rFonts w:eastAsia="Times New Roman"/>
          <w:sz w:val="20"/>
          <w:szCs w:val="20"/>
        </w:rPr>
        <w:t>» в связи с более выгодными налоговыми ставками. Статус «</w:t>
      </w:r>
      <w:proofErr w:type="spellStart"/>
      <w:r w:rsidRPr="00CD4ABF">
        <w:rPr>
          <w:rFonts w:eastAsia="Times New Roman"/>
          <w:sz w:val="20"/>
          <w:szCs w:val="20"/>
        </w:rPr>
        <w:t>самозанятого</w:t>
      </w:r>
      <w:proofErr w:type="spellEnd"/>
      <w:r w:rsidRPr="00CD4ABF">
        <w:rPr>
          <w:rFonts w:eastAsia="Times New Roman"/>
          <w:sz w:val="20"/>
          <w:szCs w:val="20"/>
        </w:rPr>
        <w:t xml:space="preserve">» могут получить люди, которые не имеют наемных сотрудников, а доход от их профессиональной деятельности не превышает 2,4 </w:t>
      </w:r>
      <w:proofErr w:type="gramStart"/>
      <w:r w:rsidRPr="00CD4ABF">
        <w:rPr>
          <w:rFonts w:eastAsia="Times New Roman"/>
          <w:sz w:val="20"/>
          <w:szCs w:val="20"/>
        </w:rPr>
        <w:t>млн</w:t>
      </w:r>
      <w:proofErr w:type="gramEnd"/>
      <w:r w:rsidRPr="00CD4ABF">
        <w:rPr>
          <w:rFonts w:eastAsia="Times New Roman"/>
          <w:sz w:val="20"/>
          <w:szCs w:val="20"/>
        </w:rPr>
        <w:t xml:space="preserve"> рублей в год. Налоговая ставка составляет 4% (в то время как индивидуальный предприниматель платит налог исходя из системы налогообложения: общей, УСН, ЕНВД, патент) при работе с физлицами и 6% для тех, кто оказывает услуги </w:t>
      </w:r>
      <w:proofErr w:type="spellStart"/>
      <w:r w:rsidRPr="00CD4ABF">
        <w:rPr>
          <w:rFonts w:eastAsia="Times New Roman"/>
          <w:sz w:val="20"/>
          <w:szCs w:val="20"/>
        </w:rPr>
        <w:t>юрлицам</w:t>
      </w:r>
      <w:proofErr w:type="spellEnd"/>
      <w:r w:rsidRPr="00CD4ABF">
        <w:rPr>
          <w:rFonts w:eastAsia="Times New Roman"/>
          <w:sz w:val="20"/>
          <w:szCs w:val="20"/>
        </w:rPr>
        <w:t>. Такие ставки зафиксированы до 2028 года.</w:t>
      </w:r>
    </w:p>
    <w:p w:rsidR="00CD4ABF" w:rsidRPr="00CD4ABF" w:rsidRDefault="00CD4ABF" w:rsidP="00CD4ABF">
      <w:pPr>
        <w:pBdr>
          <w:top w:val="nil"/>
          <w:left w:val="nil"/>
          <w:bottom w:val="nil"/>
          <w:right w:val="nil"/>
          <w:between w:val="nil"/>
        </w:pBdr>
        <w:tabs>
          <w:tab w:val="left" w:pos="142"/>
        </w:tabs>
        <w:ind w:firstLine="709"/>
        <w:jc w:val="both"/>
        <w:rPr>
          <w:rFonts w:eastAsia="Times New Roman"/>
          <w:sz w:val="20"/>
          <w:szCs w:val="20"/>
        </w:rPr>
      </w:pPr>
      <w:r w:rsidRPr="00CD4ABF">
        <w:rPr>
          <w:rFonts w:eastAsia="Times New Roman"/>
          <w:sz w:val="20"/>
          <w:szCs w:val="20"/>
        </w:rPr>
        <w:t>По состоянию на 01.01.2023, по данным ИФНС России по Республике Коми, 9709 житель г. Сыктывкара зарегистрировались в качестве «</w:t>
      </w:r>
      <w:proofErr w:type="spellStart"/>
      <w:r w:rsidRPr="00CD4ABF">
        <w:rPr>
          <w:rFonts w:eastAsia="Times New Roman"/>
          <w:sz w:val="20"/>
          <w:szCs w:val="20"/>
        </w:rPr>
        <w:t>самозанятых</w:t>
      </w:r>
      <w:proofErr w:type="spellEnd"/>
      <w:r w:rsidRPr="00CD4ABF">
        <w:rPr>
          <w:rFonts w:eastAsia="Times New Roman"/>
          <w:sz w:val="20"/>
          <w:szCs w:val="20"/>
        </w:rPr>
        <w:t xml:space="preserve">», из них в городе – 7784, в </w:t>
      </w:r>
      <w:proofErr w:type="spellStart"/>
      <w:r w:rsidRPr="00CD4ABF">
        <w:rPr>
          <w:rFonts w:eastAsia="Times New Roman"/>
          <w:sz w:val="20"/>
          <w:szCs w:val="20"/>
        </w:rPr>
        <w:t>Эжвинском</w:t>
      </w:r>
      <w:proofErr w:type="spellEnd"/>
      <w:r w:rsidRPr="00CD4ABF">
        <w:rPr>
          <w:rFonts w:eastAsia="Times New Roman"/>
          <w:sz w:val="20"/>
          <w:szCs w:val="20"/>
        </w:rPr>
        <w:t xml:space="preserve"> районе г. Сыктывкара – 1925.</w:t>
      </w:r>
    </w:p>
    <w:p w:rsidR="00CD4ABF" w:rsidRPr="00CD4ABF" w:rsidRDefault="00CD4ABF" w:rsidP="00CD4ABF">
      <w:pPr>
        <w:pBdr>
          <w:top w:val="nil"/>
          <w:left w:val="nil"/>
          <w:bottom w:val="nil"/>
          <w:right w:val="nil"/>
          <w:between w:val="nil"/>
        </w:pBdr>
        <w:tabs>
          <w:tab w:val="left" w:pos="142"/>
        </w:tabs>
        <w:ind w:firstLine="709"/>
        <w:jc w:val="both"/>
        <w:rPr>
          <w:sz w:val="20"/>
          <w:szCs w:val="20"/>
        </w:rPr>
      </w:pPr>
      <w:r w:rsidRPr="00CD4ABF">
        <w:rPr>
          <w:sz w:val="20"/>
          <w:szCs w:val="20"/>
        </w:rPr>
        <w:t xml:space="preserve">В сложившихся условиях важна поддержка малого и среднего предпринимательства со стороны муниципалитета, прежде всего, как формы занятости населения, а также как существенной сферы экономики города. </w:t>
      </w:r>
    </w:p>
    <w:p w:rsidR="00CD4ABF" w:rsidRPr="00CD4ABF" w:rsidRDefault="00CD4ABF" w:rsidP="00CD4ABF">
      <w:pPr>
        <w:ind w:firstLine="709"/>
        <w:jc w:val="both"/>
        <w:rPr>
          <w:color w:val="FF0000"/>
          <w:sz w:val="20"/>
          <w:szCs w:val="20"/>
        </w:rPr>
      </w:pPr>
      <w:r w:rsidRPr="00CD4ABF">
        <w:rPr>
          <w:sz w:val="20"/>
          <w:szCs w:val="20"/>
        </w:rPr>
        <w:lastRenderedPageBreak/>
        <w:t xml:space="preserve">Постановлением администрации МО ГО «Сыктывкар» от 30.12.2019 № 12/3912 утверждена муниципальная программа МО ГО «Сыктывкар» «Содействие развитию экономики». В 2022 г. общий объем бюджетных ассигнований в рамках реализации муниципальной программы составил 276 530,8 тыс. рублей. </w:t>
      </w:r>
    </w:p>
    <w:p w:rsidR="00CD4ABF" w:rsidRPr="00CD4ABF" w:rsidRDefault="00CD4ABF" w:rsidP="00CD4ABF">
      <w:pPr>
        <w:tabs>
          <w:tab w:val="num" w:pos="7023"/>
        </w:tabs>
        <w:autoSpaceDE w:val="0"/>
        <w:autoSpaceDN w:val="0"/>
        <w:adjustRightInd w:val="0"/>
        <w:ind w:firstLine="709"/>
        <w:jc w:val="both"/>
        <w:rPr>
          <w:color w:val="FF0000"/>
          <w:sz w:val="20"/>
          <w:szCs w:val="20"/>
        </w:rPr>
      </w:pPr>
      <w:r w:rsidRPr="00CD4ABF">
        <w:rPr>
          <w:color w:val="000000" w:themeColor="text1"/>
          <w:sz w:val="20"/>
          <w:szCs w:val="20"/>
        </w:rPr>
        <w:t>В рамках реализации программы проводится комплексная работа по поддержке и развитию субъектов МСП.  На сайте администрации МО ГО «Сыктывкар» создан и поддерживается в актуальном состоянии информационный раздел «Мой бизнес»  (</w:t>
      </w:r>
      <w:proofErr w:type="spellStart"/>
      <w:r w:rsidRPr="00CD4ABF">
        <w:rPr>
          <w:color w:val="000000" w:themeColor="text1"/>
          <w:sz w:val="20"/>
          <w:szCs w:val="20"/>
        </w:rPr>
        <w:t>сыктывкар</w:t>
      </w:r>
      <w:proofErr w:type="gramStart"/>
      <w:r w:rsidRPr="00CD4ABF">
        <w:rPr>
          <w:color w:val="000000" w:themeColor="text1"/>
          <w:sz w:val="20"/>
          <w:szCs w:val="20"/>
        </w:rPr>
        <w:t>.р</w:t>
      </w:r>
      <w:proofErr w:type="gramEnd"/>
      <w:r w:rsidRPr="00CD4ABF">
        <w:rPr>
          <w:color w:val="000000" w:themeColor="text1"/>
          <w:sz w:val="20"/>
          <w:szCs w:val="20"/>
        </w:rPr>
        <w:t>ф</w:t>
      </w:r>
      <w:proofErr w:type="spellEnd"/>
      <w:r w:rsidRPr="00CD4ABF">
        <w:rPr>
          <w:color w:val="000000" w:themeColor="text1"/>
          <w:sz w:val="20"/>
          <w:szCs w:val="20"/>
        </w:rPr>
        <w:t xml:space="preserve"> - Мой бизнес), в данном разделе размещается полезная информация и ссылки для субъектов МСП о видах и формах финансовой, имущественной поддержки субъектов МСП, об организациях, образующих инфраструктуру поддержки субъектов МСП, о работе Координационного Совета по малому и среднему предпринимательству при главе МО ГО «Сыктывкар» - </w:t>
      </w:r>
      <w:proofErr w:type="gramStart"/>
      <w:r w:rsidRPr="00CD4ABF">
        <w:rPr>
          <w:color w:val="000000" w:themeColor="text1"/>
          <w:sz w:val="20"/>
          <w:szCs w:val="20"/>
        </w:rPr>
        <w:t>руководителе</w:t>
      </w:r>
      <w:proofErr w:type="gramEnd"/>
      <w:r w:rsidRPr="00CD4ABF">
        <w:rPr>
          <w:color w:val="000000" w:themeColor="text1"/>
          <w:sz w:val="20"/>
          <w:szCs w:val="20"/>
        </w:rPr>
        <w:t xml:space="preserve"> администрации и другая информация.</w:t>
      </w:r>
      <w:r w:rsidRPr="00CD4ABF">
        <w:rPr>
          <w:color w:val="FF0000"/>
          <w:sz w:val="20"/>
          <w:szCs w:val="20"/>
        </w:rPr>
        <w:t xml:space="preserve"> </w:t>
      </w:r>
    </w:p>
    <w:p w:rsidR="00CD4ABF" w:rsidRPr="00CD4ABF" w:rsidRDefault="00CD4ABF" w:rsidP="00CD4ABF">
      <w:pPr>
        <w:tabs>
          <w:tab w:val="num" w:pos="7023"/>
        </w:tabs>
        <w:autoSpaceDE w:val="0"/>
        <w:autoSpaceDN w:val="0"/>
        <w:adjustRightInd w:val="0"/>
        <w:ind w:firstLine="709"/>
        <w:jc w:val="both"/>
        <w:rPr>
          <w:color w:val="000000" w:themeColor="text1"/>
          <w:sz w:val="20"/>
          <w:szCs w:val="20"/>
          <w:highlight w:val="yellow"/>
        </w:rPr>
      </w:pPr>
      <w:r w:rsidRPr="00CD4ABF">
        <w:rPr>
          <w:color w:val="000000" w:themeColor="text1"/>
          <w:sz w:val="20"/>
          <w:szCs w:val="20"/>
        </w:rPr>
        <w:t>Кроме того, создано муниципальное бюджетное учреждение «Центр делового сотрудничества» (далее – МБУ «ЦДС») основным направлением деятельности которого является поддержка субъектов МСП, в т.ч. консультационная, информационная, имущественная, поддержка субъектов МСП в сфере образования.</w:t>
      </w:r>
    </w:p>
    <w:p w:rsidR="00CD4ABF" w:rsidRPr="00CD4ABF" w:rsidRDefault="00CD4ABF" w:rsidP="00CD4ABF">
      <w:pPr>
        <w:ind w:firstLine="709"/>
        <w:jc w:val="both"/>
        <w:rPr>
          <w:color w:val="000000" w:themeColor="text1"/>
          <w:sz w:val="20"/>
          <w:szCs w:val="20"/>
          <w:lang w:eastAsia="en-US"/>
        </w:rPr>
      </w:pPr>
      <w:r w:rsidRPr="00CD4ABF">
        <w:rPr>
          <w:color w:val="000000" w:themeColor="text1"/>
          <w:sz w:val="20"/>
          <w:szCs w:val="20"/>
          <w:lang w:eastAsia="en-US"/>
        </w:rPr>
        <w:t>Сотрудниками муниципального бюджетного учреждения «Центр делового сотрудничества» за отчетный год:</w:t>
      </w:r>
      <w:r w:rsidRPr="00CD4ABF">
        <w:rPr>
          <w:color w:val="000000" w:themeColor="text1"/>
          <w:sz w:val="20"/>
          <w:szCs w:val="20"/>
        </w:rPr>
        <w:t xml:space="preserve"> </w:t>
      </w:r>
    </w:p>
    <w:p w:rsidR="00CD4ABF" w:rsidRPr="00CD4ABF" w:rsidRDefault="00CD4ABF" w:rsidP="00CD4ABF">
      <w:pPr>
        <w:pBdr>
          <w:top w:val="nil"/>
          <w:left w:val="nil"/>
          <w:bottom w:val="nil"/>
          <w:right w:val="nil"/>
          <w:between w:val="nil"/>
        </w:pBdr>
        <w:ind w:firstLine="709"/>
        <w:jc w:val="both"/>
        <w:rPr>
          <w:color w:val="000000" w:themeColor="text1"/>
          <w:sz w:val="20"/>
          <w:szCs w:val="20"/>
        </w:rPr>
      </w:pPr>
      <w:proofErr w:type="gramStart"/>
      <w:r w:rsidRPr="00CD4ABF">
        <w:rPr>
          <w:color w:val="000000" w:themeColor="text1"/>
          <w:sz w:val="20"/>
          <w:szCs w:val="20"/>
        </w:rPr>
        <w:t xml:space="preserve">- оказана информационно-консультационная поддержка 1613 субъектам малого и среднего предпринимательства (о поддержке субъектов малого и среднего предпринимательства в период пандемии, связанной с распространением новой </w:t>
      </w:r>
      <w:proofErr w:type="spellStart"/>
      <w:r w:rsidRPr="00CD4ABF">
        <w:rPr>
          <w:color w:val="000000" w:themeColor="text1"/>
          <w:sz w:val="20"/>
          <w:szCs w:val="20"/>
        </w:rPr>
        <w:t>коронавирусной</w:t>
      </w:r>
      <w:proofErr w:type="spellEnd"/>
      <w:r w:rsidRPr="00CD4ABF">
        <w:rPr>
          <w:color w:val="000000" w:themeColor="text1"/>
          <w:sz w:val="20"/>
          <w:szCs w:val="20"/>
        </w:rPr>
        <w:t xml:space="preserve"> инфекцией; о возможности предоставления льгот по аренде муниципального имущества; о снижении налоговой ставки по налогу на имущество; об ограничениях или запретах деятельности субъектов МСП, в связи с распространением новой </w:t>
      </w:r>
      <w:proofErr w:type="spellStart"/>
      <w:r w:rsidRPr="00CD4ABF">
        <w:rPr>
          <w:color w:val="000000" w:themeColor="text1"/>
          <w:sz w:val="20"/>
          <w:szCs w:val="20"/>
        </w:rPr>
        <w:t>коронавирусной</w:t>
      </w:r>
      <w:proofErr w:type="spellEnd"/>
      <w:r w:rsidRPr="00CD4ABF">
        <w:rPr>
          <w:color w:val="000000" w:themeColor="text1"/>
          <w:sz w:val="20"/>
          <w:szCs w:val="20"/>
        </w:rPr>
        <w:t xml:space="preserve"> инфекцией);</w:t>
      </w:r>
      <w:proofErr w:type="gramEnd"/>
    </w:p>
    <w:p w:rsidR="00CD4ABF" w:rsidRPr="00CD4ABF" w:rsidRDefault="00CD4ABF" w:rsidP="00CD4ABF">
      <w:pPr>
        <w:ind w:firstLine="709"/>
        <w:jc w:val="both"/>
        <w:rPr>
          <w:color w:val="000000" w:themeColor="text1"/>
          <w:sz w:val="20"/>
          <w:szCs w:val="20"/>
        </w:rPr>
      </w:pPr>
      <w:r w:rsidRPr="00CD4ABF">
        <w:rPr>
          <w:color w:val="000000" w:themeColor="text1"/>
          <w:sz w:val="20"/>
          <w:szCs w:val="20"/>
        </w:rPr>
        <w:t>- проведено 4 мероприятия для субъектов малого и среднего предпринимательства по актуальным вопросам с охватом не менее 50 человек;</w:t>
      </w:r>
    </w:p>
    <w:p w:rsidR="00CD4ABF" w:rsidRPr="00CD4ABF" w:rsidRDefault="00CD4ABF" w:rsidP="00CD4ABF">
      <w:pPr>
        <w:ind w:firstLine="709"/>
        <w:jc w:val="both"/>
        <w:rPr>
          <w:color w:val="000000" w:themeColor="text1"/>
          <w:sz w:val="20"/>
          <w:szCs w:val="20"/>
        </w:rPr>
      </w:pPr>
      <w:r w:rsidRPr="00CD4ABF">
        <w:rPr>
          <w:color w:val="000000" w:themeColor="text1"/>
          <w:sz w:val="20"/>
          <w:szCs w:val="20"/>
        </w:rPr>
        <w:t xml:space="preserve">- проведена 49 ярмарка выходного дня, 10 общегородских мероприятий, 10 семинаров, не включенных в муниципальное задание. </w:t>
      </w:r>
    </w:p>
    <w:p w:rsidR="00CD4ABF" w:rsidRPr="00CD4ABF" w:rsidRDefault="00CD4ABF" w:rsidP="00CD4ABF">
      <w:pPr>
        <w:ind w:firstLine="709"/>
        <w:jc w:val="both"/>
        <w:rPr>
          <w:color w:val="000000" w:themeColor="text1"/>
          <w:sz w:val="20"/>
          <w:szCs w:val="20"/>
        </w:rPr>
      </w:pPr>
      <w:r w:rsidRPr="00CD4ABF">
        <w:rPr>
          <w:color w:val="000000" w:themeColor="text1"/>
          <w:sz w:val="20"/>
          <w:szCs w:val="20"/>
        </w:rPr>
        <w:t>- 100 % от общей площади МБУ «ЦДС», сдаваемой в аренду, предоставлено субъектам малого и среднего предпринимательства в пользование на льготных условиях;</w:t>
      </w:r>
    </w:p>
    <w:p w:rsidR="00CD4ABF" w:rsidRPr="00CD4ABF" w:rsidRDefault="00CD4ABF" w:rsidP="00CD4ABF">
      <w:pPr>
        <w:ind w:firstLine="709"/>
        <w:jc w:val="both"/>
        <w:rPr>
          <w:color w:val="000000" w:themeColor="text1"/>
          <w:sz w:val="20"/>
          <w:szCs w:val="20"/>
        </w:rPr>
      </w:pPr>
      <w:r w:rsidRPr="00CD4ABF">
        <w:rPr>
          <w:color w:val="000000" w:themeColor="text1"/>
          <w:sz w:val="20"/>
          <w:szCs w:val="20"/>
        </w:rPr>
        <w:t xml:space="preserve">- оказана имущественная поддержка 12 субъектам МСП. </w:t>
      </w:r>
      <w:proofErr w:type="gramStart"/>
      <w:r w:rsidRPr="00CD4ABF">
        <w:rPr>
          <w:color w:val="000000" w:themeColor="text1"/>
          <w:sz w:val="20"/>
          <w:szCs w:val="20"/>
        </w:rPr>
        <w:t>Общая площадь, переданная в аренду составляет</w:t>
      </w:r>
      <w:proofErr w:type="gramEnd"/>
      <w:r w:rsidRPr="00CD4ABF">
        <w:rPr>
          <w:color w:val="000000" w:themeColor="text1"/>
          <w:sz w:val="20"/>
          <w:szCs w:val="20"/>
        </w:rPr>
        <w:t xml:space="preserve"> 306,7 кв.м.</w:t>
      </w:r>
    </w:p>
    <w:p w:rsidR="00CD4ABF" w:rsidRPr="00CD4ABF" w:rsidRDefault="00CD4ABF" w:rsidP="00CD4ABF">
      <w:pPr>
        <w:ind w:firstLine="709"/>
        <w:jc w:val="both"/>
        <w:rPr>
          <w:color w:val="000000" w:themeColor="text1"/>
          <w:sz w:val="20"/>
          <w:szCs w:val="20"/>
        </w:rPr>
      </w:pPr>
      <w:proofErr w:type="gramStart"/>
      <w:r w:rsidRPr="00CD4ABF">
        <w:rPr>
          <w:color w:val="000000" w:themeColor="text1"/>
          <w:sz w:val="20"/>
          <w:szCs w:val="20"/>
        </w:rPr>
        <w:t>- обучено по Программе профессиональной подготовки рабочих и служащих по должности служащего «Агент» (Профиль:</w:t>
      </w:r>
      <w:proofErr w:type="gramEnd"/>
      <w:r w:rsidRPr="00CD4ABF">
        <w:rPr>
          <w:color w:val="000000" w:themeColor="text1"/>
          <w:sz w:val="20"/>
          <w:szCs w:val="20"/>
        </w:rPr>
        <w:t xml:space="preserve"> </w:t>
      </w:r>
      <w:proofErr w:type="gramStart"/>
      <w:r w:rsidRPr="00CD4ABF">
        <w:rPr>
          <w:color w:val="000000" w:themeColor="text1"/>
          <w:sz w:val="20"/>
          <w:szCs w:val="20"/>
        </w:rPr>
        <w:t>Агентская деятельность в сфере управления малым и средним бизнесом) в «Школе начинающего предпринимателя» на базе МБУ «ЦДС» 26 человек.</w:t>
      </w:r>
      <w:proofErr w:type="gramEnd"/>
    </w:p>
    <w:p w:rsidR="00CD4ABF" w:rsidRPr="00CD4ABF" w:rsidRDefault="00CD4ABF" w:rsidP="00CD4ABF">
      <w:pPr>
        <w:ind w:firstLine="709"/>
        <w:jc w:val="both"/>
        <w:rPr>
          <w:color w:val="000000" w:themeColor="text1"/>
          <w:sz w:val="20"/>
          <w:szCs w:val="20"/>
        </w:rPr>
      </w:pPr>
      <w:r w:rsidRPr="00CD4ABF">
        <w:rPr>
          <w:color w:val="000000" w:themeColor="text1"/>
          <w:sz w:val="20"/>
          <w:szCs w:val="20"/>
        </w:rPr>
        <w:t>- участие в проекте «Школа финансовой грамотности», реализуемом на территории МО ГО «Сыктывкар», приняли 1053 человека.</w:t>
      </w:r>
    </w:p>
    <w:p w:rsidR="00CD4ABF" w:rsidRPr="00CD4ABF" w:rsidRDefault="00CD4ABF" w:rsidP="00CD4ABF">
      <w:pPr>
        <w:ind w:firstLine="709"/>
        <w:jc w:val="both"/>
        <w:rPr>
          <w:color w:val="000000" w:themeColor="text1"/>
          <w:sz w:val="20"/>
          <w:szCs w:val="20"/>
        </w:rPr>
      </w:pPr>
      <w:r w:rsidRPr="00CD4ABF">
        <w:rPr>
          <w:color w:val="000000" w:themeColor="text1"/>
          <w:sz w:val="20"/>
          <w:szCs w:val="20"/>
        </w:rPr>
        <w:t>ГУ РК «Центр занятости населения г. Сыктывкара» проведено 20 ярмарок вакансий рабочих мест (в том числе при поддержке администрации МО ГО «Сыктывкар» и МБУ «ЦДС»), а также организационные мероприятия, направленные на повышение занятости населения.</w:t>
      </w:r>
    </w:p>
    <w:p w:rsidR="00CD4ABF" w:rsidRPr="00CD4ABF" w:rsidRDefault="00CD4ABF" w:rsidP="00CD4ABF">
      <w:pPr>
        <w:pBdr>
          <w:top w:val="nil"/>
          <w:left w:val="nil"/>
          <w:bottom w:val="nil"/>
          <w:right w:val="nil"/>
          <w:between w:val="nil"/>
        </w:pBdr>
        <w:ind w:firstLine="709"/>
        <w:jc w:val="both"/>
        <w:rPr>
          <w:color w:val="000000" w:themeColor="text1"/>
          <w:sz w:val="20"/>
          <w:szCs w:val="20"/>
        </w:rPr>
      </w:pPr>
      <w:r w:rsidRPr="00CD4ABF">
        <w:rPr>
          <w:color w:val="000000" w:themeColor="text1"/>
          <w:sz w:val="20"/>
          <w:szCs w:val="20"/>
        </w:rPr>
        <w:t xml:space="preserve">мастерства, выявления и поощрения наиболее грамотных, компетентных сотрудников - профессионалов своего дела на территории МО ГО «Сыктывкар» </w:t>
      </w:r>
      <w:proofErr w:type="gramStart"/>
      <w:r w:rsidRPr="00CD4ABF">
        <w:rPr>
          <w:color w:val="000000" w:themeColor="text1"/>
          <w:sz w:val="20"/>
          <w:szCs w:val="20"/>
        </w:rPr>
        <w:t>проведен</w:t>
      </w:r>
      <w:proofErr w:type="gramEnd"/>
      <w:r w:rsidRPr="00CD4ABF">
        <w:rPr>
          <w:color w:val="000000" w:themeColor="text1"/>
          <w:sz w:val="20"/>
          <w:szCs w:val="20"/>
        </w:rPr>
        <w:t xml:space="preserve"> организован и проведен конкурс профессионального мастерства «Лучший по профессии – 2022» (постановление администрации МО ГО «Сыктывкар» от 24.02.2022 № 2/484 «О проведении конкурса «Лучший по профессии-2022», протокол конкурсной комиссии от 19.10.2022). В конкурсе приняли участие 8 конкурсантов из 3 организаций города. Признан победителем конкурса работник организации, набравший наибольшее количество баллов – токарь-расточник 6 разряда службы главного механика ОАО «Сыктывкарский Водоканал» (270 баллов). Победитель и участники конкурса поощрены публикациями в газете «Панорама столицы» в течение 2022 года.</w:t>
      </w:r>
    </w:p>
    <w:p w:rsidR="00CD4ABF" w:rsidRPr="00CD4ABF" w:rsidRDefault="00CD4ABF" w:rsidP="00CD4ABF">
      <w:pPr>
        <w:pBdr>
          <w:top w:val="nil"/>
          <w:left w:val="nil"/>
          <w:bottom w:val="nil"/>
          <w:right w:val="nil"/>
          <w:between w:val="nil"/>
        </w:pBdr>
        <w:ind w:firstLine="709"/>
        <w:jc w:val="both"/>
        <w:rPr>
          <w:color w:val="000000" w:themeColor="text1"/>
          <w:sz w:val="20"/>
          <w:szCs w:val="20"/>
        </w:rPr>
      </w:pPr>
      <w:r w:rsidRPr="00CD4ABF">
        <w:rPr>
          <w:color w:val="000000" w:themeColor="text1"/>
          <w:sz w:val="20"/>
          <w:szCs w:val="20"/>
        </w:rPr>
        <w:t xml:space="preserve">В целях развития деловой инициативы руководителей организаций по наведению и поддержанию чистоты и порядка в местах работы, проживания и отдыха и создания условий для массового отдыха жителей МО ГО «Сыктывкар», администрация МО ГО «Сыктывкар» проводит ежегодный конкурс на лучшее содержание, благоустройство и озеленение городских территорий МО ГО «Сыктывкар». За создание праздничного настроения, повышения эстетической привлекательности, улучшения городской визуальной среды и внешнего облика МО ГО «Сыктывкар» поощрение осуществлялось благодарственными письмами. </w:t>
      </w:r>
    </w:p>
    <w:p w:rsidR="00CD4ABF" w:rsidRPr="00CD4ABF" w:rsidRDefault="00CD4ABF" w:rsidP="00CD4ABF">
      <w:pPr>
        <w:pBdr>
          <w:top w:val="nil"/>
          <w:left w:val="nil"/>
          <w:bottom w:val="nil"/>
          <w:right w:val="nil"/>
          <w:between w:val="nil"/>
        </w:pBdr>
        <w:ind w:firstLine="720"/>
        <w:jc w:val="both"/>
        <w:rPr>
          <w:color w:val="000000" w:themeColor="text1"/>
          <w:sz w:val="20"/>
          <w:szCs w:val="20"/>
        </w:rPr>
      </w:pPr>
      <w:r w:rsidRPr="00CD4ABF">
        <w:rPr>
          <w:color w:val="000000" w:themeColor="text1"/>
          <w:sz w:val="20"/>
          <w:szCs w:val="20"/>
        </w:rPr>
        <w:t>В 2022 году за счет средств бюджета МО ГО «Сыктывкар» финансовая поддержка представлена:</w:t>
      </w:r>
    </w:p>
    <w:p w:rsidR="00CD4ABF" w:rsidRPr="00CD4ABF" w:rsidRDefault="00CD4ABF" w:rsidP="00CD4ABF">
      <w:pPr>
        <w:pBdr>
          <w:top w:val="nil"/>
          <w:left w:val="nil"/>
          <w:bottom w:val="nil"/>
          <w:right w:val="nil"/>
          <w:between w:val="nil"/>
        </w:pBdr>
        <w:ind w:firstLine="720"/>
        <w:jc w:val="both"/>
        <w:rPr>
          <w:color w:val="000000" w:themeColor="text1"/>
          <w:sz w:val="20"/>
          <w:szCs w:val="20"/>
        </w:rPr>
      </w:pPr>
      <w:r w:rsidRPr="00CD4ABF">
        <w:rPr>
          <w:color w:val="000000" w:themeColor="text1"/>
          <w:sz w:val="20"/>
          <w:szCs w:val="20"/>
        </w:rPr>
        <w:t>1)</w:t>
      </w:r>
      <w:r w:rsidRPr="00CD4ABF">
        <w:rPr>
          <w:color w:val="000000" w:themeColor="text1"/>
          <w:sz w:val="20"/>
          <w:szCs w:val="20"/>
        </w:rPr>
        <w:tab/>
        <w:t xml:space="preserve">в рамках исполнения муниципальной программы «Развитие образования»: 2 юридическим лицам и 2 индивидуальным предпринимателям, оказывающим услуги по реализации основных образовательных программ дошкольного образования за фиксированную для родителей (законных представителей) детей плату, не превышающую максимальный размер родительской платы, установленной для муниципальных дошкольных образовательных организаций; </w:t>
      </w:r>
    </w:p>
    <w:p w:rsidR="00CD4ABF" w:rsidRPr="00CD4ABF" w:rsidRDefault="00CD4ABF" w:rsidP="00CD4ABF">
      <w:pPr>
        <w:pBdr>
          <w:top w:val="nil"/>
          <w:left w:val="nil"/>
          <w:bottom w:val="nil"/>
          <w:right w:val="nil"/>
          <w:between w:val="nil"/>
        </w:pBdr>
        <w:ind w:firstLine="720"/>
        <w:jc w:val="both"/>
        <w:rPr>
          <w:color w:val="000000" w:themeColor="text1"/>
          <w:sz w:val="20"/>
          <w:szCs w:val="20"/>
        </w:rPr>
      </w:pPr>
      <w:r w:rsidRPr="00CD4ABF">
        <w:rPr>
          <w:color w:val="000000" w:themeColor="text1"/>
          <w:sz w:val="20"/>
          <w:szCs w:val="20"/>
        </w:rPr>
        <w:t>2)</w:t>
      </w:r>
      <w:r w:rsidRPr="00CD4ABF">
        <w:rPr>
          <w:color w:val="000000" w:themeColor="text1"/>
          <w:sz w:val="20"/>
          <w:szCs w:val="20"/>
        </w:rPr>
        <w:tab/>
        <w:t>в рамках исполнения муниципальной программы «Содействие развитию экономики», утвержденной постановлением администрации МО ГО «Сыктывкар» от 30.12.2019 № 12/3912:</w:t>
      </w:r>
    </w:p>
    <w:p w:rsidR="00CD4ABF" w:rsidRPr="00CD4ABF" w:rsidRDefault="00CD4ABF" w:rsidP="00CD4ABF">
      <w:pPr>
        <w:pBdr>
          <w:top w:val="nil"/>
          <w:left w:val="nil"/>
          <w:bottom w:val="nil"/>
          <w:right w:val="nil"/>
          <w:between w:val="nil"/>
        </w:pBdr>
        <w:ind w:firstLine="720"/>
        <w:jc w:val="both"/>
        <w:rPr>
          <w:color w:val="000000" w:themeColor="text1"/>
          <w:sz w:val="20"/>
          <w:szCs w:val="20"/>
        </w:rPr>
      </w:pPr>
      <w:proofErr w:type="gramStart"/>
      <w:r w:rsidRPr="00CD4ABF">
        <w:rPr>
          <w:color w:val="000000" w:themeColor="text1"/>
          <w:sz w:val="20"/>
          <w:szCs w:val="20"/>
        </w:rPr>
        <w:t>- 1 юридическому лицу и 3 индивидуальным предпринимателям, с целью возмещения части затрат, возникших при функционировании малокомплектных частных детских садов, а также групп детей дошкольного возраста, открытых юридическими лицами и индивидуальными предпринимателями для оказания услуг по присмотру и уходу за детьми дошкольного возраста (приложение 1 к подпрограмме 2 «Малое и среднее предпринимательство»);</w:t>
      </w:r>
      <w:proofErr w:type="gramEnd"/>
    </w:p>
    <w:p w:rsidR="00CD4ABF" w:rsidRPr="00CD4ABF" w:rsidRDefault="00CD4ABF" w:rsidP="00CD4ABF">
      <w:pPr>
        <w:pBdr>
          <w:top w:val="nil"/>
          <w:left w:val="nil"/>
          <w:bottom w:val="nil"/>
          <w:right w:val="nil"/>
          <w:between w:val="nil"/>
        </w:pBdr>
        <w:ind w:firstLine="720"/>
        <w:jc w:val="both"/>
        <w:rPr>
          <w:color w:val="000000" w:themeColor="text1"/>
          <w:sz w:val="20"/>
          <w:szCs w:val="20"/>
        </w:rPr>
      </w:pPr>
      <w:r w:rsidRPr="00CD4ABF">
        <w:rPr>
          <w:color w:val="000000" w:themeColor="text1"/>
          <w:sz w:val="20"/>
          <w:szCs w:val="20"/>
        </w:rPr>
        <w:t>- 1 юридическому лицу с целью возмещения части расходов на реализацию народных проектов в сфере малого и среднего предпринимательства (приложение 10 к подпрограмме 2 «Малое и среднее предпринимательство»).</w:t>
      </w:r>
    </w:p>
    <w:p w:rsidR="00CD4ABF" w:rsidRPr="00CD4ABF" w:rsidRDefault="00CD4ABF" w:rsidP="00CD4ABF">
      <w:pPr>
        <w:ind w:firstLine="709"/>
        <w:jc w:val="both"/>
        <w:rPr>
          <w:color w:val="FF0000"/>
          <w:sz w:val="20"/>
          <w:szCs w:val="20"/>
        </w:rPr>
      </w:pPr>
      <w:bookmarkStart w:id="0" w:name="_35nkun2" w:colFirst="0" w:colLast="0"/>
      <w:bookmarkStart w:id="1" w:name="_ximg0fc9zx1b" w:colFirst="0" w:colLast="0"/>
      <w:bookmarkEnd w:id="0"/>
      <w:bookmarkEnd w:id="1"/>
      <w:proofErr w:type="gramStart"/>
      <w:r w:rsidRPr="00CD4ABF">
        <w:rPr>
          <w:color w:val="000000" w:themeColor="text1"/>
          <w:sz w:val="20"/>
          <w:szCs w:val="20"/>
        </w:rPr>
        <w:lastRenderedPageBreak/>
        <w:t>В целях оказания имущественной поддержки максимальному числу субъектов МСП администрацией МО ГО «Сыктывкар» сформирован Перечень муниципального имущества муниципального образования городского округа «Сыктывкар»,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 администрации МО ГО «Сыктывкар» от 06.05.2010 № 5/2146).</w:t>
      </w:r>
      <w:proofErr w:type="gramEnd"/>
    </w:p>
    <w:p w:rsidR="00CD4ABF" w:rsidRPr="00CD4ABF" w:rsidRDefault="00CD4ABF" w:rsidP="00CD4ABF">
      <w:pPr>
        <w:ind w:firstLine="709"/>
        <w:jc w:val="both"/>
        <w:rPr>
          <w:color w:val="000000" w:themeColor="text1"/>
          <w:sz w:val="20"/>
          <w:szCs w:val="20"/>
        </w:rPr>
      </w:pPr>
      <w:r w:rsidRPr="00CD4ABF">
        <w:rPr>
          <w:color w:val="000000" w:themeColor="text1"/>
          <w:sz w:val="20"/>
          <w:szCs w:val="20"/>
        </w:rPr>
        <w:t xml:space="preserve">Перечень на 01.01.2023 года включает 55 объекта недвижимости общей площадью 8,7 тыс. кв.м., из которых 43 объекта находится в аренде. Перечень регулярно публикуется на официальном сайте администрации МО ГО «Сыктывкар» в сети «Интернет» – </w:t>
      </w:r>
      <w:proofErr w:type="spellStart"/>
      <w:r w:rsidRPr="00CD4ABF">
        <w:rPr>
          <w:color w:val="000000" w:themeColor="text1"/>
          <w:sz w:val="20"/>
          <w:szCs w:val="20"/>
        </w:rPr>
        <w:t>сыктывкар.рф</w:t>
      </w:r>
      <w:proofErr w:type="spellEnd"/>
      <w:r w:rsidRPr="00CD4ABF">
        <w:rPr>
          <w:color w:val="000000" w:themeColor="text1"/>
          <w:sz w:val="20"/>
          <w:szCs w:val="20"/>
        </w:rPr>
        <w:t>. Кроме того, в целях передачи помещений в пользование (в аренду) субъектам МСП на сайте администрации, в газете «Панорама столицы», на сайте МБУ «ЦДС» размещаются извещения о наличии свободных помещений и приеме заявлений на их аренду. Имущественную поддержку в виде передачи имущества в аренду получили 5 субъектов малого и среднего предпринимательства в 2022 году.</w:t>
      </w:r>
    </w:p>
    <w:p w:rsidR="00CD4ABF" w:rsidRPr="00CD4ABF" w:rsidRDefault="00CD4ABF" w:rsidP="00CD4ABF">
      <w:pPr>
        <w:ind w:firstLine="709"/>
        <w:jc w:val="both"/>
        <w:rPr>
          <w:color w:val="000000" w:themeColor="text1"/>
          <w:sz w:val="20"/>
          <w:szCs w:val="20"/>
        </w:rPr>
      </w:pPr>
      <w:r w:rsidRPr="00CD4ABF">
        <w:rPr>
          <w:color w:val="000000" w:themeColor="text1"/>
          <w:sz w:val="20"/>
          <w:szCs w:val="20"/>
        </w:rPr>
        <w:t xml:space="preserve">В целях популяризации предпринимательства на территории МО ГО «Сыктывкар» в 2022 году размещались посты о существующих мерах и формах поддержки субъектов малого и среднего предпринимательства. Также информация размещалась в средствах массовой информации (БНК, Комиинформ, </w:t>
      </w:r>
      <w:proofErr w:type="spellStart"/>
      <w:r w:rsidRPr="00CD4ABF">
        <w:rPr>
          <w:color w:val="000000" w:themeColor="text1"/>
          <w:sz w:val="20"/>
          <w:szCs w:val="20"/>
        </w:rPr>
        <w:t>Прогород</w:t>
      </w:r>
      <w:proofErr w:type="spellEnd"/>
      <w:r w:rsidRPr="00CD4ABF">
        <w:rPr>
          <w:color w:val="000000" w:themeColor="text1"/>
          <w:sz w:val="20"/>
          <w:szCs w:val="20"/>
        </w:rPr>
        <w:t>, Панорама столицы), а также в журнале «Регион». Общее количество размещенных постов 531.</w:t>
      </w:r>
    </w:p>
    <w:p w:rsidR="00CD4ABF" w:rsidRPr="00CD4ABF" w:rsidRDefault="00CD4ABF" w:rsidP="00CD4ABF">
      <w:pPr>
        <w:ind w:firstLine="709"/>
        <w:jc w:val="both"/>
        <w:rPr>
          <w:color w:val="FF0000"/>
          <w:sz w:val="20"/>
          <w:szCs w:val="20"/>
        </w:rPr>
      </w:pPr>
      <w:proofErr w:type="gramStart"/>
      <w:r w:rsidRPr="00CD4ABF">
        <w:rPr>
          <w:color w:val="000000" w:themeColor="text1"/>
          <w:sz w:val="20"/>
          <w:szCs w:val="20"/>
        </w:rPr>
        <w:t xml:space="preserve">Администрацией МО ГО Сыктывкар» были разосланы материалы более чем в 10 СМИ (в том числе </w:t>
      </w:r>
      <w:proofErr w:type="spellStart"/>
      <w:r w:rsidRPr="00CD4ABF">
        <w:rPr>
          <w:color w:val="000000" w:themeColor="text1"/>
          <w:sz w:val="20"/>
          <w:szCs w:val="20"/>
        </w:rPr>
        <w:t>БНКоми</w:t>
      </w:r>
      <w:proofErr w:type="spellEnd"/>
      <w:r w:rsidRPr="00CD4ABF">
        <w:rPr>
          <w:color w:val="000000" w:themeColor="text1"/>
          <w:sz w:val="20"/>
          <w:szCs w:val="20"/>
        </w:rPr>
        <w:t xml:space="preserve">, Комиинформ, </w:t>
      </w:r>
      <w:proofErr w:type="spellStart"/>
      <w:r w:rsidRPr="00CD4ABF">
        <w:rPr>
          <w:color w:val="000000" w:themeColor="text1"/>
          <w:sz w:val="20"/>
          <w:szCs w:val="20"/>
        </w:rPr>
        <w:t>Прогород</w:t>
      </w:r>
      <w:proofErr w:type="spellEnd"/>
      <w:r w:rsidRPr="00CD4ABF">
        <w:rPr>
          <w:color w:val="000000" w:themeColor="text1"/>
          <w:sz w:val="20"/>
          <w:szCs w:val="20"/>
        </w:rPr>
        <w:t xml:space="preserve">) о реализации Национального проекта по поддержке предпринимательства, планах Правительства Российской Федерации по преодолению экономических последствий, вызванных распространением новой </w:t>
      </w:r>
      <w:proofErr w:type="spellStart"/>
      <w:r w:rsidRPr="00CD4ABF">
        <w:rPr>
          <w:color w:val="000000" w:themeColor="text1"/>
          <w:sz w:val="20"/>
          <w:szCs w:val="20"/>
        </w:rPr>
        <w:t>коронавирусной</w:t>
      </w:r>
      <w:proofErr w:type="spellEnd"/>
      <w:r w:rsidRPr="00CD4ABF">
        <w:rPr>
          <w:color w:val="000000" w:themeColor="text1"/>
          <w:sz w:val="20"/>
          <w:szCs w:val="20"/>
        </w:rPr>
        <w:t xml:space="preserve"> инфекции, о возобновлении «Ярмарок выходного дня», о возможности для предпринимателей Сыктывкара получить дополнительную субсидию в условиях распространения новой </w:t>
      </w:r>
      <w:proofErr w:type="spellStart"/>
      <w:r w:rsidRPr="00CD4ABF">
        <w:rPr>
          <w:color w:val="000000" w:themeColor="text1"/>
          <w:sz w:val="20"/>
          <w:szCs w:val="20"/>
        </w:rPr>
        <w:t>коронавирусной</w:t>
      </w:r>
      <w:proofErr w:type="spellEnd"/>
      <w:r w:rsidRPr="00CD4ABF">
        <w:rPr>
          <w:color w:val="000000" w:themeColor="text1"/>
          <w:sz w:val="20"/>
          <w:szCs w:val="20"/>
        </w:rPr>
        <w:t xml:space="preserve"> инфекции.</w:t>
      </w:r>
      <w:proofErr w:type="gramEnd"/>
      <w:r w:rsidRPr="00CD4ABF">
        <w:rPr>
          <w:color w:val="FF0000"/>
          <w:sz w:val="20"/>
          <w:szCs w:val="20"/>
        </w:rPr>
        <w:t xml:space="preserve"> </w:t>
      </w:r>
      <w:r w:rsidRPr="00CD4ABF">
        <w:rPr>
          <w:color w:val="000000" w:themeColor="text1"/>
          <w:sz w:val="20"/>
          <w:szCs w:val="20"/>
        </w:rPr>
        <w:t>В 2022 году в средствах массовой информации было опубликовано 23 статьи с информацией о возможной поддержке субъектов МСП, в социальных сетях размещено 694 поста.</w:t>
      </w:r>
    </w:p>
    <w:p w:rsidR="00CD4ABF" w:rsidRPr="00CD4ABF" w:rsidRDefault="00CD4ABF" w:rsidP="00CD4ABF">
      <w:pPr>
        <w:ind w:firstLine="709"/>
        <w:jc w:val="both"/>
        <w:rPr>
          <w:color w:val="000000" w:themeColor="text1"/>
          <w:sz w:val="20"/>
          <w:szCs w:val="20"/>
        </w:rPr>
      </w:pPr>
      <w:r w:rsidRPr="00CD4ABF">
        <w:rPr>
          <w:color w:val="000000" w:themeColor="text1"/>
          <w:sz w:val="20"/>
          <w:szCs w:val="20"/>
        </w:rPr>
        <w:t>В социальных сетях созданы аккаунты для продвижения информации о поддержке субъектов малого и среднего предпринимательства.</w:t>
      </w:r>
    </w:p>
    <w:p w:rsidR="00CD4ABF" w:rsidRPr="00CD4ABF" w:rsidRDefault="00CD4ABF" w:rsidP="00CD4ABF">
      <w:pPr>
        <w:ind w:firstLine="720"/>
        <w:jc w:val="both"/>
        <w:rPr>
          <w:sz w:val="20"/>
          <w:szCs w:val="20"/>
        </w:rPr>
      </w:pPr>
      <w:proofErr w:type="gramStart"/>
      <w:r w:rsidRPr="00CD4ABF">
        <w:rPr>
          <w:color w:val="000000" w:themeColor="text1"/>
          <w:sz w:val="20"/>
          <w:szCs w:val="20"/>
        </w:rPr>
        <w:t xml:space="preserve">На сайте администрации МО ГО «Сыктывкар» создан и поддерживается в актуальном состоянии информационный раздел «Мой бизнес», в данном разделе размещается полезная информация и ссылки для субъектов МСП о видах и формах финансовой, имущественной </w:t>
      </w:r>
      <w:r w:rsidRPr="00CD4ABF">
        <w:rPr>
          <w:sz w:val="20"/>
          <w:szCs w:val="20"/>
        </w:rPr>
        <w:t>поддержки субъектов МСП, об организациях, образующих инфраструктуру поддержки субъектов МСП, о работе Координационного Совета по малому и среднему предпринимательству при главе МО ГО «Сыктывкар» - руководителе администрации и</w:t>
      </w:r>
      <w:proofErr w:type="gramEnd"/>
      <w:r w:rsidRPr="00CD4ABF">
        <w:rPr>
          <w:sz w:val="20"/>
          <w:szCs w:val="20"/>
        </w:rPr>
        <w:t xml:space="preserve"> другая информация. </w:t>
      </w:r>
    </w:p>
    <w:p w:rsidR="00CD4ABF" w:rsidRPr="00CD4ABF" w:rsidRDefault="00CD4ABF" w:rsidP="00CD4ABF">
      <w:pPr>
        <w:ind w:firstLine="720"/>
        <w:jc w:val="both"/>
        <w:rPr>
          <w:sz w:val="20"/>
          <w:szCs w:val="20"/>
        </w:rPr>
      </w:pPr>
      <w:r w:rsidRPr="00CD4ABF">
        <w:rPr>
          <w:sz w:val="20"/>
          <w:szCs w:val="20"/>
        </w:rPr>
        <w:t xml:space="preserve">В МО ГО «Сыктывкар» на постоянной основе действует Координационный совет по малому и среднему предпринимательству при главе МО ГО «Сыктывкар» - руководителе администрации, в 2022 году проведено 9 заседаний. </w:t>
      </w:r>
    </w:p>
    <w:p w:rsidR="00C35A78" w:rsidRPr="00C35A78" w:rsidRDefault="00C35A78" w:rsidP="00C35A78">
      <w:pPr>
        <w:ind w:firstLine="567"/>
        <w:jc w:val="both"/>
        <w:rPr>
          <w:sz w:val="20"/>
          <w:szCs w:val="20"/>
        </w:rPr>
      </w:pPr>
      <w:r w:rsidRPr="00C35A78">
        <w:rPr>
          <w:sz w:val="20"/>
          <w:szCs w:val="20"/>
        </w:rPr>
        <w:t xml:space="preserve">Важным показателем экономического развития муниципального образования являются инвестиции в основной капитал. По данным территориального органа Федеральной службы государственной статистики по Республике Коми (далее – </w:t>
      </w:r>
      <w:proofErr w:type="spellStart"/>
      <w:r w:rsidRPr="00C35A78">
        <w:rPr>
          <w:sz w:val="20"/>
          <w:szCs w:val="20"/>
        </w:rPr>
        <w:t>Комистат</w:t>
      </w:r>
      <w:proofErr w:type="spellEnd"/>
      <w:r w:rsidRPr="00C35A78">
        <w:rPr>
          <w:sz w:val="20"/>
          <w:szCs w:val="20"/>
        </w:rPr>
        <w:t xml:space="preserve">) </w:t>
      </w:r>
      <w:r w:rsidRPr="00C35A78">
        <w:rPr>
          <w:i/>
          <w:sz w:val="20"/>
          <w:szCs w:val="20"/>
        </w:rPr>
        <w:t>объем инвестиций в основной капитал (за исключением бюджетных средств) в расчете на 1 жителя</w:t>
      </w:r>
      <w:r w:rsidRPr="00C35A78">
        <w:rPr>
          <w:sz w:val="20"/>
          <w:szCs w:val="20"/>
        </w:rPr>
        <w:t xml:space="preserve"> по итогам 2022 года составил 54 572,00 рублей, что на 7 139 руб. ниже уровня 2021 года. </w:t>
      </w:r>
    </w:p>
    <w:p w:rsidR="00C35A78" w:rsidRPr="00C35A78" w:rsidRDefault="00C35A78" w:rsidP="00C35A78">
      <w:pPr>
        <w:ind w:firstLine="567"/>
        <w:jc w:val="both"/>
        <w:rPr>
          <w:sz w:val="20"/>
          <w:szCs w:val="20"/>
        </w:rPr>
      </w:pPr>
      <w:r w:rsidRPr="00C35A78">
        <w:rPr>
          <w:sz w:val="20"/>
          <w:szCs w:val="20"/>
        </w:rPr>
        <w:t xml:space="preserve">В 2022 году, по информации предприятий города, ими осуществляются следующие значимые инвестиционные проекты: </w:t>
      </w:r>
    </w:p>
    <w:tbl>
      <w:tblPr>
        <w:tblStyle w:val="af4"/>
        <w:tblW w:w="9996" w:type="dxa"/>
        <w:tblLook w:val="04A0" w:firstRow="1" w:lastRow="0" w:firstColumn="1" w:lastColumn="0" w:noHBand="0" w:noVBand="1"/>
      </w:tblPr>
      <w:tblGrid>
        <w:gridCol w:w="675"/>
        <w:gridCol w:w="5529"/>
        <w:gridCol w:w="2268"/>
        <w:gridCol w:w="1524"/>
      </w:tblGrid>
      <w:tr w:rsidR="00C35A78" w:rsidRPr="00C35A78" w:rsidTr="00C35A78">
        <w:tc>
          <w:tcPr>
            <w:tcW w:w="675" w:type="dxa"/>
            <w:shd w:val="clear" w:color="auto" w:fill="DEEAF6" w:themeFill="accent1" w:themeFillTint="33"/>
          </w:tcPr>
          <w:p w:rsidR="00C35A78" w:rsidRPr="00C35A78" w:rsidRDefault="00C35A78" w:rsidP="00C35A78">
            <w:pPr>
              <w:pStyle w:val="1"/>
              <w:spacing w:before="0"/>
              <w:ind w:firstLine="0"/>
              <w:jc w:val="center"/>
              <w:rPr>
                <w:rFonts w:ascii="Times New Roman" w:hAnsi="Times New Roman"/>
                <w:b/>
                <w:sz w:val="20"/>
                <w:szCs w:val="20"/>
              </w:rPr>
            </w:pPr>
            <w:r w:rsidRPr="00C35A78">
              <w:rPr>
                <w:rFonts w:ascii="Times New Roman" w:hAnsi="Times New Roman"/>
                <w:b/>
                <w:sz w:val="20"/>
                <w:szCs w:val="20"/>
              </w:rPr>
              <w:t>№</w:t>
            </w:r>
          </w:p>
          <w:p w:rsidR="00C35A78" w:rsidRPr="00C35A78" w:rsidRDefault="00C35A78" w:rsidP="00C35A78">
            <w:pPr>
              <w:pStyle w:val="1"/>
              <w:spacing w:before="0"/>
              <w:ind w:firstLine="0"/>
              <w:jc w:val="center"/>
              <w:rPr>
                <w:rFonts w:ascii="Times New Roman" w:hAnsi="Times New Roman"/>
                <w:b/>
                <w:sz w:val="20"/>
                <w:szCs w:val="20"/>
              </w:rPr>
            </w:pPr>
            <w:proofErr w:type="spellStart"/>
            <w:r w:rsidRPr="00C35A78">
              <w:rPr>
                <w:rFonts w:ascii="Times New Roman" w:hAnsi="Times New Roman"/>
                <w:b/>
                <w:sz w:val="20"/>
                <w:szCs w:val="20"/>
              </w:rPr>
              <w:t>пп</w:t>
            </w:r>
            <w:proofErr w:type="spellEnd"/>
          </w:p>
        </w:tc>
        <w:tc>
          <w:tcPr>
            <w:tcW w:w="5529" w:type="dxa"/>
            <w:shd w:val="clear" w:color="auto" w:fill="DEEAF6" w:themeFill="accent1" w:themeFillTint="33"/>
          </w:tcPr>
          <w:p w:rsidR="00C35A78" w:rsidRPr="00C35A78" w:rsidRDefault="00C35A78" w:rsidP="00C35A78">
            <w:pPr>
              <w:pStyle w:val="1"/>
              <w:spacing w:before="0"/>
              <w:ind w:firstLine="0"/>
              <w:rPr>
                <w:rFonts w:ascii="Times New Roman" w:hAnsi="Times New Roman"/>
                <w:b/>
                <w:sz w:val="20"/>
                <w:szCs w:val="20"/>
              </w:rPr>
            </w:pPr>
            <w:r w:rsidRPr="00C35A78">
              <w:rPr>
                <w:rFonts w:ascii="Times New Roman" w:hAnsi="Times New Roman"/>
                <w:b/>
                <w:sz w:val="20"/>
                <w:szCs w:val="20"/>
              </w:rPr>
              <w:t>Наименование инвестиционного проекта</w:t>
            </w:r>
          </w:p>
        </w:tc>
        <w:tc>
          <w:tcPr>
            <w:tcW w:w="2268" w:type="dxa"/>
            <w:shd w:val="clear" w:color="auto" w:fill="DEEAF6" w:themeFill="accent1" w:themeFillTint="33"/>
          </w:tcPr>
          <w:p w:rsidR="00C35A78" w:rsidRPr="00C35A78" w:rsidRDefault="00C35A78" w:rsidP="00C35A78">
            <w:pPr>
              <w:pStyle w:val="1"/>
              <w:spacing w:before="0"/>
              <w:ind w:firstLine="0"/>
              <w:rPr>
                <w:rFonts w:ascii="Times New Roman" w:hAnsi="Times New Roman"/>
                <w:b/>
                <w:sz w:val="20"/>
                <w:szCs w:val="20"/>
              </w:rPr>
            </w:pPr>
            <w:r w:rsidRPr="00C35A78">
              <w:rPr>
                <w:rFonts w:ascii="Times New Roman" w:hAnsi="Times New Roman"/>
                <w:b/>
                <w:sz w:val="20"/>
                <w:szCs w:val="20"/>
              </w:rPr>
              <w:t>Общая стоимость проекта (</w:t>
            </w:r>
            <w:proofErr w:type="gramStart"/>
            <w:r w:rsidRPr="00C35A78">
              <w:rPr>
                <w:rFonts w:ascii="Times New Roman" w:hAnsi="Times New Roman"/>
                <w:b/>
                <w:sz w:val="20"/>
                <w:szCs w:val="20"/>
              </w:rPr>
              <w:t>млн</w:t>
            </w:r>
            <w:proofErr w:type="gramEnd"/>
            <w:r w:rsidRPr="00C35A78">
              <w:rPr>
                <w:rFonts w:ascii="Times New Roman" w:hAnsi="Times New Roman"/>
                <w:b/>
                <w:sz w:val="20"/>
                <w:szCs w:val="20"/>
              </w:rPr>
              <w:t xml:space="preserve"> рублей)</w:t>
            </w:r>
          </w:p>
        </w:tc>
        <w:tc>
          <w:tcPr>
            <w:tcW w:w="1524" w:type="dxa"/>
            <w:shd w:val="clear" w:color="auto" w:fill="DEEAF6" w:themeFill="accent1" w:themeFillTint="33"/>
          </w:tcPr>
          <w:p w:rsidR="00C35A78" w:rsidRPr="00C35A78" w:rsidRDefault="00C35A78" w:rsidP="00C35A78">
            <w:pPr>
              <w:pStyle w:val="1"/>
              <w:spacing w:before="0"/>
              <w:ind w:firstLine="0"/>
              <w:rPr>
                <w:rFonts w:ascii="Times New Roman" w:hAnsi="Times New Roman"/>
                <w:b/>
                <w:sz w:val="20"/>
                <w:szCs w:val="20"/>
              </w:rPr>
            </w:pPr>
            <w:r w:rsidRPr="00C35A78">
              <w:rPr>
                <w:rFonts w:ascii="Times New Roman" w:hAnsi="Times New Roman"/>
                <w:b/>
                <w:sz w:val="20"/>
                <w:szCs w:val="20"/>
              </w:rPr>
              <w:t>Срок реализации</w:t>
            </w:r>
          </w:p>
        </w:tc>
      </w:tr>
      <w:tr w:rsidR="00C35A78" w:rsidRPr="00C35A78" w:rsidTr="00C35A78">
        <w:tc>
          <w:tcPr>
            <w:tcW w:w="675"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1.</w:t>
            </w:r>
          </w:p>
        </w:tc>
        <w:tc>
          <w:tcPr>
            <w:tcW w:w="5529"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Модернизация сушильной машины с увеличением производительности АО «Монди СЛПК»</w:t>
            </w:r>
          </w:p>
        </w:tc>
        <w:tc>
          <w:tcPr>
            <w:tcW w:w="2268" w:type="dxa"/>
          </w:tcPr>
          <w:p w:rsidR="00C35A78" w:rsidRPr="00C35A78" w:rsidRDefault="00C35A78" w:rsidP="00C35A78">
            <w:pPr>
              <w:pStyle w:val="1"/>
              <w:spacing w:before="0"/>
              <w:jc w:val="center"/>
              <w:rPr>
                <w:rFonts w:ascii="Times New Roman" w:hAnsi="Times New Roman"/>
                <w:sz w:val="20"/>
                <w:szCs w:val="20"/>
              </w:rPr>
            </w:pPr>
            <w:r w:rsidRPr="00C35A78">
              <w:rPr>
                <w:rFonts w:ascii="Times New Roman" w:hAnsi="Times New Roman"/>
                <w:sz w:val="20"/>
                <w:szCs w:val="20"/>
              </w:rPr>
              <w:t>1 556,7</w:t>
            </w:r>
          </w:p>
        </w:tc>
        <w:tc>
          <w:tcPr>
            <w:tcW w:w="1524"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2021–2022</w:t>
            </w:r>
          </w:p>
        </w:tc>
      </w:tr>
      <w:tr w:rsidR="00C35A78" w:rsidRPr="00C35A78" w:rsidTr="00C35A78">
        <w:tc>
          <w:tcPr>
            <w:tcW w:w="675"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w:t>
            </w:r>
          </w:p>
        </w:tc>
        <w:tc>
          <w:tcPr>
            <w:tcW w:w="5529"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 xml:space="preserve">Реконструкция ПС 110/10 </w:t>
            </w:r>
            <w:proofErr w:type="spellStart"/>
            <w:r w:rsidRPr="00C35A78">
              <w:rPr>
                <w:rFonts w:ascii="Times New Roman" w:hAnsi="Times New Roman"/>
                <w:sz w:val="20"/>
                <w:szCs w:val="20"/>
              </w:rPr>
              <w:t>кВ</w:t>
            </w:r>
            <w:proofErr w:type="spellEnd"/>
            <w:r w:rsidRPr="00C35A78">
              <w:rPr>
                <w:rFonts w:ascii="Times New Roman" w:hAnsi="Times New Roman"/>
                <w:sz w:val="20"/>
                <w:szCs w:val="20"/>
              </w:rPr>
              <w:t xml:space="preserve"> «</w:t>
            </w:r>
            <w:proofErr w:type="spellStart"/>
            <w:r w:rsidRPr="00C35A78">
              <w:rPr>
                <w:rFonts w:ascii="Times New Roman" w:hAnsi="Times New Roman"/>
                <w:sz w:val="20"/>
                <w:szCs w:val="20"/>
              </w:rPr>
              <w:t>Краснозатонская</w:t>
            </w:r>
            <w:proofErr w:type="spellEnd"/>
            <w:r w:rsidRPr="00C35A78">
              <w:rPr>
                <w:rFonts w:ascii="Times New Roman" w:hAnsi="Times New Roman"/>
                <w:sz w:val="20"/>
                <w:szCs w:val="20"/>
              </w:rPr>
              <w:t>»</w:t>
            </w:r>
          </w:p>
        </w:tc>
        <w:tc>
          <w:tcPr>
            <w:tcW w:w="2268" w:type="dxa"/>
          </w:tcPr>
          <w:p w:rsidR="00C35A78" w:rsidRPr="00C35A78" w:rsidRDefault="00C35A78" w:rsidP="00C35A78">
            <w:pPr>
              <w:pStyle w:val="1"/>
              <w:spacing w:before="0"/>
              <w:jc w:val="center"/>
              <w:rPr>
                <w:rFonts w:ascii="Times New Roman" w:hAnsi="Times New Roman"/>
                <w:sz w:val="20"/>
                <w:szCs w:val="20"/>
              </w:rPr>
            </w:pPr>
            <w:r w:rsidRPr="00C35A78">
              <w:rPr>
                <w:rFonts w:ascii="Times New Roman" w:hAnsi="Times New Roman"/>
                <w:sz w:val="20"/>
                <w:szCs w:val="20"/>
              </w:rPr>
              <w:t>502,1</w:t>
            </w:r>
          </w:p>
        </w:tc>
        <w:tc>
          <w:tcPr>
            <w:tcW w:w="1524"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2020–2023</w:t>
            </w:r>
          </w:p>
        </w:tc>
      </w:tr>
      <w:tr w:rsidR="00C35A78" w:rsidRPr="00C35A78" w:rsidTr="00C35A78">
        <w:tc>
          <w:tcPr>
            <w:tcW w:w="675"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3.</w:t>
            </w:r>
          </w:p>
        </w:tc>
        <w:tc>
          <w:tcPr>
            <w:tcW w:w="5529"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Модернизация с созданием объектов лесной и лесоперерабатывающей инфраструктуры Сыктывкарского лесопильно-деревообрабатывающего комбината в Республике Коми</w:t>
            </w:r>
          </w:p>
        </w:tc>
        <w:tc>
          <w:tcPr>
            <w:tcW w:w="2268" w:type="dxa"/>
          </w:tcPr>
          <w:p w:rsidR="00C35A78" w:rsidRPr="00C35A78" w:rsidRDefault="00C35A78" w:rsidP="00C35A78">
            <w:pPr>
              <w:pStyle w:val="1"/>
              <w:spacing w:before="0"/>
              <w:jc w:val="center"/>
              <w:rPr>
                <w:rFonts w:ascii="Times New Roman" w:hAnsi="Times New Roman"/>
                <w:sz w:val="20"/>
                <w:szCs w:val="20"/>
              </w:rPr>
            </w:pPr>
            <w:r w:rsidRPr="00C35A78">
              <w:rPr>
                <w:rFonts w:ascii="Times New Roman" w:hAnsi="Times New Roman"/>
                <w:sz w:val="20"/>
                <w:szCs w:val="20"/>
              </w:rPr>
              <w:t>3 054,7</w:t>
            </w:r>
          </w:p>
        </w:tc>
        <w:tc>
          <w:tcPr>
            <w:tcW w:w="1524"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2019–2025</w:t>
            </w:r>
          </w:p>
        </w:tc>
      </w:tr>
      <w:tr w:rsidR="00C35A78" w:rsidRPr="00C35A78" w:rsidTr="00C35A78">
        <w:tc>
          <w:tcPr>
            <w:tcW w:w="675"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4.</w:t>
            </w:r>
          </w:p>
        </w:tc>
        <w:tc>
          <w:tcPr>
            <w:tcW w:w="5529"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Модернизация и расширение производственных мощностей  ООО «Лузалес»</w:t>
            </w:r>
          </w:p>
        </w:tc>
        <w:tc>
          <w:tcPr>
            <w:tcW w:w="2268" w:type="dxa"/>
          </w:tcPr>
          <w:p w:rsidR="00C35A78" w:rsidRPr="00C35A78" w:rsidRDefault="00C35A78" w:rsidP="00C35A78">
            <w:pPr>
              <w:pStyle w:val="1"/>
              <w:spacing w:before="0"/>
              <w:jc w:val="center"/>
              <w:rPr>
                <w:rFonts w:ascii="Times New Roman" w:hAnsi="Times New Roman"/>
                <w:sz w:val="20"/>
                <w:szCs w:val="20"/>
              </w:rPr>
            </w:pPr>
            <w:r w:rsidRPr="00C35A78">
              <w:rPr>
                <w:rFonts w:ascii="Times New Roman" w:hAnsi="Times New Roman"/>
                <w:sz w:val="20"/>
                <w:szCs w:val="20"/>
              </w:rPr>
              <w:t>3 925,0</w:t>
            </w:r>
          </w:p>
        </w:tc>
        <w:tc>
          <w:tcPr>
            <w:tcW w:w="1524"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2018–2027</w:t>
            </w:r>
          </w:p>
        </w:tc>
      </w:tr>
      <w:tr w:rsidR="00C35A78" w:rsidRPr="00C35A78" w:rsidTr="00C35A78">
        <w:tc>
          <w:tcPr>
            <w:tcW w:w="675"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5.</w:t>
            </w:r>
          </w:p>
        </w:tc>
        <w:tc>
          <w:tcPr>
            <w:tcW w:w="5529"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 xml:space="preserve">Строительство завода по производству фанерных плит </w:t>
            </w:r>
            <w:r w:rsidRPr="00C35A78">
              <w:rPr>
                <w:rFonts w:ascii="Times New Roman" w:hAnsi="Times New Roman"/>
                <w:sz w:val="20"/>
                <w:szCs w:val="20"/>
                <w:lang w:val="en-US"/>
              </w:rPr>
              <w:t>V</w:t>
            </w:r>
            <w:r w:rsidRPr="00C35A78">
              <w:rPr>
                <w:rFonts w:ascii="Times New Roman" w:hAnsi="Times New Roman"/>
                <w:sz w:val="20"/>
                <w:szCs w:val="20"/>
              </w:rPr>
              <w:t>-260 тыс. куб. м/год готовой продукции</w:t>
            </w:r>
          </w:p>
        </w:tc>
        <w:tc>
          <w:tcPr>
            <w:tcW w:w="2268" w:type="dxa"/>
          </w:tcPr>
          <w:p w:rsidR="00C35A78" w:rsidRPr="00C35A78" w:rsidRDefault="00C35A78" w:rsidP="00C35A78">
            <w:pPr>
              <w:pStyle w:val="1"/>
              <w:spacing w:before="0"/>
              <w:jc w:val="center"/>
              <w:rPr>
                <w:rFonts w:ascii="Times New Roman" w:hAnsi="Times New Roman"/>
                <w:sz w:val="20"/>
                <w:szCs w:val="20"/>
              </w:rPr>
            </w:pPr>
            <w:r w:rsidRPr="00C35A78">
              <w:rPr>
                <w:rFonts w:ascii="Times New Roman" w:hAnsi="Times New Roman"/>
                <w:sz w:val="20"/>
                <w:szCs w:val="20"/>
              </w:rPr>
              <w:t>12 200,0</w:t>
            </w:r>
          </w:p>
        </w:tc>
        <w:tc>
          <w:tcPr>
            <w:tcW w:w="1524"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2021–2028</w:t>
            </w:r>
          </w:p>
        </w:tc>
      </w:tr>
      <w:tr w:rsidR="00C35A78" w:rsidRPr="00C35A78" w:rsidTr="00C35A78">
        <w:tc>
          <w:tcPr>
            <w:tcW w:w="675"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6.</w:t>
            </w:r>
          </w:p>
        </w:tc>
        <w:tc>
          <w:tcPr>
            <w:tcW w:w="5529"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Модернизация производства ООО «Сыктывкарский молочный завод»</w:t>
            </w:r>
          </w:p>
        </w:tc>
        <w:tc>
          <w:tcPr>
            <w:tcW w:w="2268" w:type="dxa"/>
          </w:tcPr>
          <w:p w:rsidR="00C35A78" w:rsidRPr="00C35A78" w:rsidRDefault="00C35A78" w:rsidP="00C35A78">
            <w:pPr>
              <w:pStyle w:val="1"/>
              <w:spacing w:before="0"/>
              <w:jc w:val="center"/>
              <w:rPr>
                <w:rFonts w:ascii="Times New Roman" w:hAnsi="Times New Roman"/>
                <w:sz w:val="20"/>
                <w:szCs w:val="20"/>
              </w:rPr>
            </w:pPr>
            <w:r w:rsidRPr="00C35A78">
              <w:rPr>
                <w:rFonts w:ascii="Times New Roman" w:hAnsi="Times New Roman"/>
                <w:sz w:val="20"/>
                <w:szCs w:val="20"/>
              </w:rPr>
              <w:t>22,0</w:t>
            </w:r>
          </w:p>
        </w:tc>
        <w:tc>
          <w:tcPr>
            <w:tcW w:w="1524"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2023</w:t>
            </w:r>
          </w:p>
        </w:tc>
      </w:tr>
      <w:tr w:rsidR="00C35A78" w:rsidRPr="00C35A78" w:rsidTr="00C35A78">
        <w:tc>
          <w:tcPr>
            <w:tcW w:w="675"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7.</w:t>
            </w:r>
          </w:p>
        </w:tc>
        <w:tc>
          <w:tcPr>
            <w:tcW w:w="5529"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 xml:space="preserve">Строительство животноводческой фермы на 550 голов КРС в </w:t>
            </w:r>
            <w:proofErr w:type="spellStart"/>
            <w:r w:rsidRPr="00C35A78">
              <w:rPr>
                <w:rFonts w:ascii="Times New Roman" w:hAnsi="Times New Roman"/>
                <w:sz w:val="20"/>
                <w:szCs w:val="20"/>
              </w:rPr>
              <w:t>мкр</w:t>
            </w:r>
            <w:proofErr w:type="spellEnd"/>
            <w:r w:rsidRPr="00C35A78">
              <w:rPr>
                <w:rFonts w:ascii="Times New Roman" w:hAnsi="Times New Roman"/>
                <w:sz w:val="20"/>
                <w:szCs w:val="20"/>
              </w:rPr>
              <w:t xml:space="preserve">. Верхний </w:t>
            </w:r>
            <w:proofErr w:type="spellStart"/>
            <w:r w:rsidRPr="00C35A78">
              <w:rPr>
                <w:rFonts w:ascii="Times New Roman" w:hAnsi="Times New Roman"/>
                <w:sz w:val="20"/>
                <w:szCs w:val="20"/>
              </w:rPr>
              <w:t>Чов</w:t>
            </w:r>
            <w:proofErr w:type="spellEnd"/>
            <w:r w:rsidRPr="00C35A78">
              <w:rPr>
                <w:rFonts w:ascii="Times New Roman" w:hAnsi="Times New Roman"/>
                <w:sz w:val="20"/>
                <w:szCs w:val="20"/>
              </w:rPr>
              <w:t xml:space="preserve"> г. Сыктывкар ООО «Пригородный»</w:t>
            </w:r>
          </w:p>
        </w:tc>
        <w:tc>
          <w:tcPr>
            <w:tcW w:w="2268" w:type="dxa"/>
          </w:tcPr>
          <w:p w:rsidR="00C35A78" w:rsidRPr="00C35A78" w:rsidRDefault="00C35A78" w:rsidP="00C35A78">
            <w:pPr>
              <w:pStyle w:val="1"/>
              <w:spacing w:before="0"/>
              <w:jc w:val="center"/>
              <w:rPr>
                <w:rFonts w:ascii="Times New Roman" w:hAnsi="Times New Roman"/>
                <w:sz w:val="20"/>
                <w:szCs w:val="20"/>
              </w:rPr>
            </w:pPr>
            <w:r w:rsidRPr="00C35A78">
              <w:rPr>
                <w:rFonts w:ascii="Times New Roman" w:hAnsi="Times New Roman"/>
                <w:sz w:val="20"/>
                <w:szCs w:val="20"/>
              </w:rPr>
              <w:t>1 802,8</w:t>
            </w:r>
          </w:p>
        </w:tc>
        <w:tc>
          <w:tcPr>
            <w:tcW w:w="1524" w:type="dxa"/>
          </w:tcPr>
          <w:p w:rsidR="00C35A78" w:rsidRPr="00C35A78" w:rsidRDefault="00C35A78" w:rsidP="00C35A78">
            <w:pPr>
              <w:pStyle w:val="1"/>
              <w:spacing w:before="0"/>
              <w:ind w:firstLine="0"/>
              <w:rPr>
                <w:rFonts w:ascii="Times New Roman" w:hAnsi="Times New Roman"/>
                <w:sz w:val="20"/>
                <w:szCs w:val="20"/>
              </w:rPr>
            </w:pPr>
            <w:r w:rsidRPr="00C35A78">
              <w:rPr>
                <w:rFonts w:ascii="Times New Roman" w:hAnsi="Times New Roman"/>
                <w:sz w:val="20"/>
                <w:szCs w:val="20"/>
              </w:rPr>
              <w:t>2025</w:t>
            </w:r>
          </w:p>
        </w:tc>
      </w:tr>
    </w:tbl>
    <w:p w:rsidR="00C35A78" w:rsidRPr="00C35A78" w:rsidRDefault="00C35A78" w:rsidP="00C35A78">
      <w:pPr>
        <w:tabs>
          <w:tab w:val="center" w:pos="7632"/>
        </w:tabs>
        <w:ind w:right="72" w:firstLine="567"/>
        <w:jc w:val="both"/>
        <w:rPr>
          <w:sz w:val="20"/>
          <w:szCs w:val="20"/>
        </w:rPr>
      </w:pPr>
      <w:r w:rsidRPr="00C35A78">
        <w:rPr>
          <w:sz w:val="20"/>
          <w:szCs w:val="20"/>
        </w:rPr>
        <w:t xml:space="preserve">На территории города развиваются также сельскохозяйственные организации. </w:t>
      </w:r>
      <w:proofErr w:type="gramStart"/>
      <w:r w:rsidRPr="00C35A78">
        <w:rPr>
          <w:sz w:val="20"/>
          <w:szCs w:val="20"/>
        </w:rPr>
        <w:t xml:space="preserve">В 2022 году по сравнению с 2021 годом в сельскохозяйственных организациях (без </w:t>
      </w:r>
      <w:proofErr w:type="spellStart"/>
      <w:r w:rsidRPr="00C35A78">
        <w:rPr>
          <w:sz w:val="20"/>
          <w:szCs w:val="20"/>
        </w:rPr>
        <w:t>микропредприятий</w:t>
      </w:r>
      <w:proofErr w:type="spellEnd"/>
      <w:r w:rsidRPr="00C35A78">
        <w:rPr>
          <w:sz w:val="20"/>
          <w:szCs w:val="20"/>
        </w:rPr>
        <w:t xml:space="preserve">) производство скота и птицы на убой (в живом весе) уменьшилось на 21,2% и составило 817 ц. (1 037 ц. - в 2021 г.), при этом реализация уменьшилась на 21,9% и составила 1 046 ц. (1 046 ц. – в 2021 г.). </w:t>
      </w:r>
      <w:proofErr w:type="gramEnd"/>
    </w:p>
    <w:p w:rsidR="00C35A78" w:rsidRPr="00C35A78" w:rsidRDefault="00C35A78" w:rsidP="00C35A78">
      <w:pPr>
        <w:tabs>
          <w:tab w:val="center" w:pos="7632"/>
        </w:tabs>
        <w:ind w:right="72" w:firstLine="567"/>
        <w:jc w:val="both"/>
        <w:rPr>
          <w:sz w:val="20"/>
          <w:szCs w:val="20"/>
        </w:rPr>
      </w:pPr>
      <w:r w:rsidRPr="00C35A78">
        <w:rPr>
          <w:sz w:val="20"/>
          <w:szCs w:val="20"/>
        </w:rPr>
        <w:t xml:space="preserve">В сфере агропромышленного комплекса на территории города действует 34  организации. Из них: </w:t>
      </w:r>
    </w:p>
    <w:p w:rsidR="00C35A78" w:rsidRPr="00C35A78" w:rsidRDefault="00C35A78" w:rsidP="00C35A78">
      <w:pPr>
        <w:tabs>
          <w:tab w:val="center" w:pos="7632"/>
        </w:tabs>
        <w:ind w:right="72" w:firstLine="567"/>
        <w:jc w:val="both"/>
        <w:rPr>
          <w:sz w:val="20"/>
          <w:szCs w:val="20"/>
        </w:rPr>
      </w:pPr>
      <w:r w:rsidRPr="00C35A78">
        <w:rPr>
          <w:sz w:val="20"/>
          <w:szCs w:val="20"/>
        </w:rPr>
        <w:t xml:space="preserve">в сельском хозяйстве – 6: </w:t>
      </w:r>
      <w:proofErr w:type="gramStart"/>
      <w:r w:rsidRPr="00C35A78">
        <w:rPr>
          <w:sz w:val="20"/>
          <w:szCs w:val="20"/>
        </w:rPr>
        <w:t xml:space="preserve">ООО «Пригородный» – выращивание овощей, столовых корнеплодных и клубнеплодных культур, разведение молочного крупного рогатого скота, производство сырого молока и </w:t>
      </w:r>
      <w:r w:rsidRPr="00C35A78">
        <w:rPr>
          <w:sz w:val="20"/>
          <w:szCs w:val="20"/>
        </w:rPr>
        <w:lastRenderedPageBreak/>
        <w:t>молокопродуктов, мяса, ООО «РК «</w:t>
      </w:r>
      <w:proofErr w:type="spellStart"/>
      <w:r w:rsidRPr="00C35A78">
        <w:rPr>
          <w:sz w:val="20"/>
          <w:szCs w:val="20"/>
        </w:rPr>
        <w:t>БиоРесурс</w:t>
      </w:r>
      <w:proofErr w:type="spellEnd"/>
      <w:r w:rsidRPr="00C35A78">
        <w:rPr>
          <w:sz w:val="20"/>
          <w:szCs w:val="20"/>
        </w:rPr>
        <w:t xml:space="preserve">», РГУСП «Коми» по </w:t>
      </w:r>
      <w:proofErr w:type="spellStart"/>
      <w:r w:rsidRPr="00C35A78">
        <w:rPr>
          <w:sz w:val="20"/>
          <w:szCs w:val="20"/>
        </w:rPr>
        <w:t>племработе</w:t>
      </w:r>
      <w:proofErr w:type="spellEnd"/>
      <w:r w:rsidRPr="00C35A78">
        <w:rPr>
          <w:sz w:val="20"/>
          <w:szCs w:val="20"/>
        </w:rPr>
        <w:t>» - предоставление услуг в области животноводства, ООО КФХ «</w:t>
      </w:r>
      <w:proofErr w:type="spellStart"/>
      <w:r w:rsidRPr="00C35A78">
        <w:rPr>
          <w:sz w:val="20"/>
          <w:szCs w:val="20"/>
        </w:rPr>
        <w:t>Турун</w:t>
      </w:r>
      <w:proofErr w:type="spellEnd"/>
      <w:r w:rsidRPr="00C35A78">
        <w:rPr>
          <w:sz w:val="20"/>
          <w:szCs w:val="20"/>
        </w:rPr>
        <w:t>»  - выращивание прочих однолетних культур, ООО «Рос-Ток» выращивание овощей, бахчевых, корнеплодных и клубнеплодных культур, грибов и трюфелей;</w:t>
      </w:r>
      <w:proofErr w:type="gramEnd"/>
      <w:r w:rsidRPr="00C35A78">
        <w:rPr>
          <w:sz w:val="20"/>
          <w:szCs w:val="20"/>
        </w:rPr>
        <w:t xml:space="preserve"> ООО «ФАЛЬКОН» -  охота, отлов и отстрел диких животных, включая предоставление услуг в этих областях; разведение оленей;</w:t>
      </w:r>
    </w:p>
    <w:p w:rsidR="00C35A78" w:rsidRPr="00C35A78" w:rsidRDefault="00C35A78" w:rsidP="00C35A78">
      <w:pPr>
        <w:tabs>
          <w:tab w:val="center" w:pos="7632"/>
        </w:tabs>
        <w:ind w:right="72" w:firstLine="567"/>
        <w:jc w:val="both"/>
        <w:rPr>
          <w:sz w:val="20"/>
          <w:szCs w:val="20"/>
        </w:rPr>
      </w:pPr>
      <w:r w:rsidRPr="00C35A78">
        <w:rPr>
          <w:sz w:val="20"/>
          <w:szCs w:val="20"/>
        </w:rPr>
        <w:t xml:space="preserve">в производстве пищевых продуктов – 12: ООО «Сыктывкархлеб» </w:t>
      </w:r>
      <w:proofErr w:type="gramStart"/>
      <w:r w:rsidRPr="00C35A78">
        <w:rPr>
          <w:sz w:val="20"/>
          <w:szCs w:val="20"/>
        </w:rPr>
        <w:t>–п</w:t>
      </w:r>
      <w:proofErr w:type="gramEnd"/>
      <w:r w:rsidRPr="00C35A78">
        <w:rPr>
          <w:sz w:val="20"/>
          <w:szCs w:val="20"/>
        </w:rPr>
        <w:t>роизводство хлеба и мучных кондитерских изделий, тортов и пирожных, ООО «Сыктывкарский молочный завод» – производство молока и молочной продукции, ООО Фирма «Исток-Д» – производство безалкогольных напитков, минеральных вод и прочих питьевых вод в бутылках, АО «</w:t>
      </w:r>
      <w:proofErr w:type="spellStart"/>
      <w:r w:rsidRPr="00C35A78">
        <w:rPr>
          <w:sz w:val="20"/>
          <w:szCs w:val="20"/>
        </w:rPr>
        <w:t>Сыктывкарпиво</w:t>
      </w:r>
      <w:proofErr w:type="spellEnd"/>
      <w:r w:rsidRPr="00C35A78">
        <w:rPr>
          <w:sz w:val="20"/>
          <w:szCs w:val="20"/>
        </w:rPr>
        <w:t xml:space="preserve">» –производство пива, безалкогольных напитков, минеральных вод и прочих питьевых вод в бутылках, майонеза, горчицы, АО «Сыктывкарский ЛВЗ» –производство напитков; </w:t>
      </w:r>
      <w:proofErr w:type="gramStart"/>
      <w:r w:rsidRPr="00C35A78">
        <w:rPr>
          <w:sz w:val="20"/>
          <w:szCs w:val="20"/>
        </w:rPr>
        <w:t>ООО «</w:t>
      </w:r>
      <w:proofErr w:type="spellStart"/>
      <w:r w:rsidRPr="00C35A78">
        <w:rPr>
          <w:sz w:val="20"/>
          <w:szCs w:val="20"/>
        </w:rPr>
        <w:t>Манарага</w:t>
      </w:r>
      <w:proofErr w:type="spellEnd"/>
      <w:r w:rsidRPr="00C35A78">
        <w:rPr>
          <w:sz w:val="20"/>
          <w:szCs w:val="20"/>
        </w:rPr>
        <w:t>» – производство детского питания и диетических пищевых продуктов, СППССК «</w:t>
      </w:r>
      <w:proofErr w:type="spellStart"/>
      <w:r w:rsidRPr="00C35A78">
        <w:rPr>
          <w:sz w:val="20"/>
          <w:szCs w:val="20"/>
        </w:rPr>
        <w:t>Комирыба</w:t>
      </w:r>
      <w:proofErr w:type="spellEnd"/>
      <w:r w:rsidRPr="00C35A78">
        <w:rPr>
          <w:sz w:val="20"/>
          <w:szCs w:val="20"/>
        </w:rPr>
        <w:t>» – переработка и консервирование рыбы, ООО «</w:t>
      </w:r>
      <w:proofErr w:type="spellStart"/>
      <w:r w:rsidRPr="00C35A78">
        <w:rPr>
          <w:sz w:val="20"/>
          <w:szCs w:val="20"/>
        </w:rPr>
        <w:t>Экопрод</w:t>
      </w:r>
      <w:proofErr w:type="spellEnd"/>
      <w:r w:rsidRPr="00C35A78">
        <w:rPr>
          <w:sz w:val="20"/>
          <w:szCs w:val="20"/>
        </w:rPr>
        <w:t>» – переработка овощей, ООО «</w:t>
      </w:r>
      <w:proofErr w:type="spellStart"/>
      <w:r w:rsidRPr="00C35A78">
        <w:rPr>
          <w:sz w:val="20"/>
          <w:szCs w:val="20"/>
        </w:rPr>
        <w:t>Эколайн</w:t>
      </w:r>
      <w:proofErr w:type="spellEnd"/>
      <w:r w:rsidRPr="00C35A78">
        <w:rPr>
          <w:sz w:val="20"/>
          <w:szCs w:val="20"/>
        </w:rPr>
        <w:t>» – производство воды и напитков, ООО «Артезианский источник – С» – производство безалкогольных напитков, ООО «</w:t>
      </w:r>
      <w:proofErr w:type="spellStart"/>
      <w:r w:rsidRPr="00C35A78">
        <w:rPr>
          <w:sz w:val="20"/>
          <w:szCs w:val="20"/>
        </w:rPr>
        <w:t>Корс</w:t>
      </w:r>
      <w:proofErr w:type="spellEnd"/>
      <w:r w:rsidRPr="00C35A78">
        <w:rPr>
          <w:sz w:val="20"/>
          <w:szCs w:val="20"/>
        </w:rPr>
        <w:t>» – производство пива, ООО «Союз» – производство хлеба и хлебобулочных изделий;</w:t>
      </w:r>
      <w:proofErr w:type="gramEnd"/>
    </w:p>
    <w:p w:rsidR="00C35A78" w:rsidRPr="00C35A78" w:rsidRDefault="00C35A78" w:rsidP="00C35A78">
      <w:pPr>
        <w:tabs>
          <w:tab w:val="center" w:pos="7632"/>
        </w:tabs>
        <w:ind w:right="72" w:firstLine="567"/>
        <w:jc w:val="both"/>
        <w:rPr>
          <w:sz w:val="20"/>
          <w:szCs w:val="20"/>
        </w:rPr>
      </w:pPr>
      <w:r w:rsidRPr="00C35A78">
        <w:rPr>
          <w:sz w:val="20"/>
          <w:szCs w:val="20"/>
        </w:rPr>
        <w:t>в сфере предоставления услуг – 9: ООО «</w:t>
      </w:r>
      <w:proofErr w:type="spellStart"/>
      <w:r w:rsidRPr="00C35A78">
        <w:rPr>
          <w:sz w:val="20"/>
          <w:szCs w:val="20"/>
        </w:rPr>
        <w:t>Эжваагропромснаб</w:t>
      </w:r>
      <w:proofErr w:type="spellEnd"/>
      <w:r w:rsidRPr="00C35A78">
        <w:rPr>
          <w:sz w:val="20"/>
          <w:szCs w:val="20"/>
        </w:rPr>
        <w:t>», ООО «Сыктывкарская сельхозтехника», ООО «</w:t>
      </w:r>
      <w:proofErr w:type="spellStart"/>
      <w:r w:rsidRPr="00C35A78">
        <w:rPr>
          <w:sz w:val="20"/>
          <w:szCs w:val="20"/>
        </w:rPr>
        <w:t>Агрохим</w:t>
      </w:r>
      <w:proofErr w:type="spellEnd"/>
      <w:r w:rsidRPr="00C35A78">
        <w:rPr>
          <w:sz w:val="20"/>
          <w:szCs w:val="20"/>
        </w:rPr>
        <w:t>», АО «</w:t>
      </w:r>
      <w:proofErr w:type="spellStart"/>
      <w:r w:rsidRPr="00C35A78">
        <w:rPr>
          <w:sz w:val="20"/>
          <w:szCs w:val="20"/>
        </w:rPr>
        <w:t>Комиагролизинг</w:t>
      </w:r>
      <w:proofErr w:type="spellEnd"/>
      <w:r w:rsidRPr="00C35A78">
        <w:rPr>
          <w:sz w:val="20"/>
          <w:szCs w:val="20"/>
        </w:rPr>
        <w:t>», ООО «</w:t>
      </w:r>
      <w:proofErr w:type="spellStart"/>
      <w:r w:rsidRPr="00C35A78">
        <w:rPr>
          <w:sz w:val="20"/>
          <w:szCs w:val="20"/>
        </w:rPr>
        <w:t>Пищеагроснаб</w:t>
      </w:r>
      <w:proofErr w:type="spellEnd"/>
      <w:r w:rsidRPr="00C35A78">
        <w:rPr>
          <w:sz w:val="20"/>
          <w:szCs w:val="20"/>
        </w:rPr>
        <w:t>», ООО «</w:t>
      </w:r>
      <w:proofErr w:type="spellStart"/>
      <w:r w:rsidRPr="00C35A78">
        <w:rPr>
          <w:sz w:val="20"/>
          <w:szCs w:val="20"/>
        </w:rPr>
        <w:t>АгроСпецМеханика</w:t>
      </w:r>
      <w:proofErr w:type="spellEnd"/>
      <w:r w:rsidRPr="00C35A78">
        <w:rPr>
          <w:sz w:val="20"/>
          <w:szCs w:val="20"/>
        </w:rPr>
        <w:t>», ОАО «</w:t>
      </w:r>
      <w:proofErr w:type="spellStart"/>
      <w:r w:rsidRPr="00C35A78">
        <w:rPr>
          <w:sz w:val="20"/>
          <w:szCs w:val="20"/>
        </w:rPr>
        <w:t>Комиагропромтехника</w:t>
      </w:r>
      <w:proofErr w:type="spellEnd"/>
      <w:r w:rsidRPr="00C35A78">
        <w:rPr>
          <w:sz w:val="20"/>
          <w:szCs w:val="20"/>
        </w:rPr>
        <w:t>», ОАО НИПИИ «</w:t>
      </w:r>
      <w:proofErr w:type="spellStart"/>
      <w:r w:rsidRPr="00C35A78">
        <w:rPr>
          <w:sz w:val="20"/>
          <w:szCs w:val="20"/>
        </w:rPr>
        <w:t>Комимелиоводхозпроект</w:t>
      </w:r>
      <w:proofErr w:type="spellEnd"/>
      <w:r w:rsidRPr="00C35A78">
        <w:rPr>
          <w:sz w:val="20"/>
          <w:szCs w:val="20"/>
        </w:rPr>
        <w:t>», ООО «Рассвет»;</w:t>
      </w:r>
    </w:p>
    <w:p w:rsidR="00C35A78" w:rsidRPr="00C35A78" w:rsidRDefault="00C35A78" w:rsidP="00C35A78">
      <w:pPr>
        <w:tabs>
          <w:tab w:val="center" w:pos="7632"/>
        </w:tabs>
        <w:ind w:right="72" w:firstLine="567"/>
        <w:jc w:val="both"/>
        <w:rPr>
          <w:sz w:val="20"/>
          <w:szCs w:val="20"/>
        </w:rPr>
      </w:pPr>
      <w:r w:rsidRPr="00C35A78">
        <w:rPr>
          <w:sz w:val="20"/>
          <w:szCs w:val="20"/>
        </w:rPr>
        <w:t>в ветеринарной деятельности – 2: ГБУ РК «Управление ветеринарии Республики Коми», ГБУ РК «Республиканская ветеринарная лаборатория»;</w:t>
      </w:r>
    </w:p>
    <w:p w:rsidR="00C35A78" w:rsidRPr="00C35A78" w:rsidRDefault="00C35A78" w:rsidP="00C35A78">
      <w:pPr>
        <w:tabs>
          <w:tab w:val="center" w:pos="7632"/>
        </w:tabs>
        <w:ind w:right="72" w:firstLine="567"/>
        <w:jc w:val="both"/>
        <w:rPr>
          <w:sz w:val="20"/>
          <w:szCs w:val="20"/>
        </w:rPr>
      </w:pPr>
      <w:r w:rsidRPr="00C35A78">
        <w:rPr>
          <w:sz w:val="20"/>
          <w:szCs w:val="20"/>
        </w:rPr>
        <w:t>учреждения – 2: ФГБУ «Станция агрохимической службы «Сыктывкарская», ФГБОУ ДПОС «Институт переподготовки и повышения квалификации работников агропромышленного комплекса Республики Коми»;</w:t>
      </w:r>
    </w:p>
    <w:p w:rsidR="00C35A78" w:rsidRPr="00C35A78" w:rsidRDefault="00C35A78" w:rsidP="00C35A78">
      <w:pPr>
        <w:tabs>
          <w:tab w:val="center" w:pos="7632"/>
        </w:tabs>
        <w:ind w:right="72" w:firstLine="567"/>
        <w:jc w:val="both"/>
        <w:rPr>
          <w:sz w:val="20"/>
          <w:szCs w:val="20"/>
        </w:rPr>
      </w:pPr>
      <w:r w:rsidRPr="00C35A78">
        <w:rPr>
          <w:sz w:val="20"/>
          <w:szCs w:val="20"/>
        </w:rPr>
        <w:t>прочие – 3: ООО НПП «Инжиниринговые технологические решения», Союз потребительских обществ Республики Коми, Некоммерческое партнерство «Общество защиты бездомных животных».</w:t>
      </w:r>
    </w:p>
    <w:p w:rsidR="00C35A78" w:rsidRPr="00C35A78" w:rsidRDefault="00C35A78" w:rsidP="00C35A78">
      <w:pPr>
        <w:tabs>
          <w:tab w:val="center" w:pos="7632"/>
        </w:tabs>
        <w:ind w:right="72" w:firstLine="567"/>
        <w:jc w:val="both"/>
        <w:rPr>
          <w:sz w:val="20"/>
          <w:szCs w:val="20"/>
        </w:rPr>
      </w:pPr>
      <w:r w:rsidRPr="00C35A78">
        <w:rPr>
          <w:sz w:val="20"/>
          <w:szCs w:val="20"/>
        </w:rPr>
        <w:t xml:space="preserve">Доля прибыльных сельскохозяйственных организаций в 2022 году составила 80% . </w:t>
      </w:r>
    </w:p>
    <w:p w:rsidR="00C35A78" w:rsidRPr="00C35A78" w:rsidRDefault="00C35A78" w:rsidP="00C35A78">
      <w:pPr>
        <w:tabs>
          <w:tab w:val="center" w:pos="7632"/>
        </w:tabs>
        <w:ind w:right="72" w:firstLine="567"/>
        <w:jc w:val="both"/>
        <w:rPr>
          <w:sz w:val="20"/>
          <w:szCs w:val="20"/>
        </w:rPr>
      </w:pPr>
      <w:r w:rsidRPr="00C35A78">
        <w:rPr>
          <w:sz w:val="20"/>
          <w:szCs w:val="20"/>
        </w:rPr>
        <w:t xml:space="preserve">Важным моментом пополнения бюджета города является грамотное управление ресурсами и создание условий для развития инфраструктуры. </w:t>
      </w:r>
    </w:p>
    <w:p w:rsidR="00C35A78" w:rsidRPr="00C35A78" w:rsidRDefault="00C35A78" w:rsidP="00C35A78">
      <w:pPr>
        <w:tabs>
          <w:tab w:val="center" w:pos="7632"/>
        </w:tabs>
        <w:ind w:right="72" w:firstLine="567"/>
        <w:jc w:val="both"/>
        <w:rPr>
          <w:sz w:val="20"/>
          <w:szCs w:val="20"/>
        </w:rPr>
      </w:pPr>
      <w:r w:rsidRPr="00C35A78">
        <w:rPr>
          <w:sz w:val="20"/>
          <w:szCs w:val="20"/>
        </w:rPr>
        <w:t xml:space="preserve">Значение показателя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в 2022 году </w:t>
      </w:r>
      <w:r w:rsidR="00C05295">
        <w:rPr>
          <w:sz w:val="20"/>
          <w:szCs w:val="20"/>
        </w:rPr>
        <w:t>остается на уровне 2021</w:t>
      </w:r>
      <w:r w:rsidRPr="00C35A78">
        <w:rPr>
          <w:sz w:val="20"/>
          <w:szCs w:val="20"/>
        </w:rPr>
        <w:t xml:space="preserve"> года и составляет 53%. Данный показатель не подлежит увеличению, так как является максимальным значением. В соответствии с составом земель города Сыктывкара 47% земель не облагаются земельным налогом (земли лесного фонда, земли запаса, земли под военными объектами и иными режимными территориями, городские леса, парки, сады).</w:t>
      </w:r>
    </w:p>
    <w:p w:rsidR="00C35A78" w:rsidRPr="00C35A78" w:rsidRDefault="00C35A78" w:rsidP="00C35A78">
      <w:pPr>
        <w:tabs>
          <w:tab w:val="center" w:pos="7632"/>
        </w:tabs>
        <w:ind w:right="72" w:firstLine="567"/>
        <w:jc w:val="both"/>
        <w:rPr>
          <w:sz w:val="20"/>
          <w:szCs w:val="20"/>
        </w:rPr>
      </w:pPr>
      <w:r w:rsidRPr="00C35A78">
        <w:rPr>
          <w:sz w:val="20"/>
          <w:szCs w:val="20"/>
        </w:rPr>
        <w:t xml:space="preserve">В 2022 году значения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сложилось на уровне 23,2%.   </w:t>
      </w:r>
    </w:p>
    <w:p w:rsidR="00C35A78" w:rsidRPr="00C35A78" w:rsidRDefault="00C35A78" w:rsidP="00C35A78">
      <w:pPr>
        <w:tabs>
          <w:tab w:val="center" w:pos="7632"/>
        </w:tabs>
        <w:ind w:right="72" w:firstLine="567"/>
        <w:jc w:val="both"/>
        <w:rPr>
          <w:sz w:val="20"/>
          <w:szCs w:val="20"/>
        </w:rPr>
      </w:pPr>
      <w:r w:rsidRPr="00C35A78">
        <w:rPr>
          <w:sz w:val="20"/>
          <w:szCs w:val="20"/>
        </w:rPr>
        <w:t>В 2022 году на территории МО ГО «Сыктывкар» продолжена реализация национального проекта «Безопасные и качественные автомобильные дороги».</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В рамках национального проекта отремонтировано 7 улиц, 3 автомобильные дороги и 3 проезда (общая протяженность составила 11 889 </w:t>
      </w:r>
      <w:proofErr w:type="spellStart"/>
      <w:r w:rsidRPr="00C35A78">
        <w:rPr>
          <w:rFonts w:eastAsia="Times New Roman"/>
          <w:bCs/>
          <w:sz w:val="20"/>
          <w:szCs w:val="20"/>
        </w:rPr>
        <w:t>пог.м</w:t>
      </w:r>
      <w:proofErr w:type="spellEnd"/>
      <w:r w:rsidRPr="00C35A78">
        <w:rPr>
          <w:rFonts w:eastAsia="Times New Roman"/>
          <w:bCs/>
          <w:sz w:val="20"/>
          <w:szCs w:val="20"/>
        </w:rPr>
        <w:t xml:space="preserve">) на сумму 239 242 797,74 в том числе за счет средств республиканского бюджета в размере 236 850 369,78  руб. и за счет местного бюджета в размере 2 392 427,96 руб : </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ул. </w:t>
      </w:r>
      <w:proofErr w:type="spellStart"/>
      <w:r w:rsidRPr="00C35A78">
        <w:rPr>
          <w:rFonts w:eastAsia="Times New Roman"/>
          <w:bCs/>
          <w:sz w:val="20"/>
          <w:szCs w:val="20"/>
        </w:rPr>
        <w:t>Маегова</w:t>
      </w:r>
      <w:proofErr w:type="spellEnd"/>
      <w:r w:rsidRPr="00C35A78">
        <w:rPr>
          <w:rFonts w:eastAsia="Times New Roman"/>
          <w:bCs/>
          <w:sz w:val="20"/>
          <w:szCs w:val="20"/>
        </w:rPr>
        <w:t xml:space="preserve"> -711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ул. Охотничья- 478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ул. Куратова-1602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ул. Судостроительная - 423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ул. Магистральная - 832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ул. О. Кошевого - 391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ул. Менделеева - 317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Автомобильная дорога "Подъезд к Аэропорту" (от автомобильной дороги Сыктывкар - </w:t>
      </w:r>
      <w:proofErr w:type="spellStart"/>
      <w:r w:rsidRPr="00C35A78">
        <w:rPr>
          <w:rFonts w:eastAsia="Times New Roman"/>
          <w:bCs/>
          <w:sz w:val="20"/>
          <w:szCs w:val="20"/>
        </w:rPr>
        <w:t>Пузла</w:t>
      </w:r>
      <w:proofErr w:type="spellEnd"/>
      <w:r w:rsidRPr="00C35A78">
        <w:rPr>
          <w:rFonts w:eastAsia="Times New Roman"/>
          <w:bCs/>
          <w:sz w:val="20"/>
          <w:szCs w:val="20"/>
        </w:rPr>
        <w:t xml:space="preserve"> - ул. Крутая на участке Лесозавод - </w:t>
      </w:r>
      <w:proofErr w:type="spellStart"/>
      <w:r w:rsidRPr="00C35A78">
        <w:rPr>
          <w:rFonts w:eastAsia="Times New Roman"/>
          <w:bCs/>
          <w:sz w:val="20"/>
          <w:szCs w:val="20"/>
        </w:rPr>
        <w:t>Кочпон</w:t>
      </w:r>
      <w:proofErr w:type="spellEnd"/>
      <w:r w:rsidRPr="00C35A78">
        <w:rPr>
          <w:rFonts w:eastAsia="Times New Roman"/>
          <w:bCs/>
          <w:sz w:val="20"/>
          <w:szCs w:val="20"/>
        </w:rPr>
        <w:t xml:space="preserve"> - </w:t>
      </w:r>
      <w:proofErr w:type="spellStart"/>
      <w:r w:rsidRPr="00C35A78">
        <w:rPr>
          <w:rFonts w:eastAsia="Times New Roman"/>
          <w:bCs/>
          <w:sz w:val="20"/>
          <w:szCs w:val="20"/>
        </w:rPr>
        <w:t>Чит</w:t>
      </w:r>
      <w:proofErr w:type="spellEnd"/>
      <w:r w:rsidRPr="00C35A78">
        <w:rPr>
          <w:rFonts w:eastAsia="Times New Roman"/>
          <w:bCs/>
          <w:sz w:val="20"/>
          <w:szCs w:val="20"/>
        </w:rPr>
        <w:t xml:space="preserve"> - </w:t>
      </w:r>
      <w:proofErr w:type="spellStart"/>
      <w:r w:rsidRPr="00C35A78">
        <w:rPr>
          <w:rFonts w:eastAsia="Times New Roman"/>
          <w:bCs/>
          <w:sz w:val="20"/>
          <w:szCs w:val="20"/>
        </w:rPr>
        <w:t>Давпон</w:t>
      </w:r>
      <w:proofErr w:type="spellEnd"/>
      <w:r w:rsidRPr="00C35A78">
        <w:rPr>
          <w:rFonts w:eastAsia="Times New Roman"/>
          <w:bCs/>
          <w:sz w:val="20"/>
          <w:szCs w:val="20"/>
        </w:rPr>
        <w:t xml:space="preserve"> до ул. Маркова)  - 1643 </w:t>
      </w:r>
      <w:proofErr w:type="spellStart"/>
      <w:r w:rsidRPr="00C35A78">
        <w:rPr>
          <w:rFonts w:eastAsia="Times New Roman"/>
          <w:bCs/>
          <w:sz w:val="20"/>
          <w:szCs w:val="20"/>
        </w:rPr>
        <w:t>пог.м</w:t>
      </w:r>
      <w:proofErr w:type="spellEnd"/>
      <w:r w:rsidRPr="00C35A78">
        <w:rPr>
          <w:rFonts w:eastAsia="Times New Roman"/>
          <w:bCs/>
          <w:sz w:val="20"/>
          <w:szCs w:val="20"/>
        </w:rPr>
        <w:t xml:space="preserve"> ;</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Автомобильная дорога "Подъезд к </w:t>
      </w:r>
      <w:proofErr w:type="spellStart"/>
      <w:r w:rsidRPr="00C35A78">
        <w:rPr>
          <w:rFonts w:eastAsia="Times New Roman"/>
          <w:bCs/>
          <w:sz w:val="20"/>
          <w:szCs w:val="20"/>
        </w:rPr>
        <w:t>зверохозяйству</w:t>
      </w:r>
      <w:proofErr w:type="spellEnd"/>
      <w:r w:rsidRPr="00C35A78">
        <w:rPr>
          <w:rFonts w:eastAsia="Times New Roman"/>
          <w:bCs/>
          <w:sz w:val="20"/>
          <w:szCs w:val="20"/>
        </w:rPr>
        <w:t xml:space="preserve">" — 3658 </w:t>
      </w:r>
      <w:proofErr w:type="spellStart"/>
      <w:r w:rsidRPr="00C35A78">
        <w:rPr>
          <w:rFonts w:eastAsia="Times New Roman"/>
          <w:bCs/>
          <w:sz w:val="20"/>
          <w:szCs w:val="20"/>
        </w:rPr>
        <w:t>пог.м</w:t>
      </w:r>
      <w:proofErr w:type="spellEnd"/>
      <w:r w:rsidRPr="00C35A78">
        <w:rPr>
          <w:rFonts w:eastAsia="Times New Roman"/>
          <w:bCs/>
          <w:sz w:val="20"/>
          <w:szCs w:val="20"/>
        </w:rPr>
        <w:t xml:space="preserve"> ;</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Автомобильная дорога "Обход центральной части п.г.т. Краснозатонский" (ул. Трудовая) - 546 </w:t>
      </w:r>
      <w:proofErr w:type="spellStart"/>
      <w:r w:rsidRPr="00C35A78">
        <w:rPr>
          <w:rFonts w:eastAsia="Times New Roman"/>
          <w:bCs/>
          <w:sz w:val="20"/>
          <w:szCs w:val="20"/>
        </w:rPr>
        <w:t>пог.м</w:t>
      </w:r>
      <w:proofErr w:type="spellEnd"/>
      <w:r w:rsidRPr="00C35A78">
        <w:rPr>
          <w:rFonts w:eastAsia="Times New Roman"/>
          <w:bCs/>
          <w:sz w:val="20"/>
          <w:szCs w:val="20"/>
        </w:rPr>
        <w:t xml:space="preserve"> ;</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Нагорный проезд — 273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Пушкинский проезд — 215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Набережный проезд — 800 </w:t>
      </w:r>
      <w:proofErr w:type="spellStart"/>
      <w:r w:rsidRPr="00C35A78">
        <w:rPr>
          <w:rFonts w:eastAsia="Times New Roman"/>
          <w:bCs/>
          <w:sz w:val="20"/>
          <w:szCs w:val="20"/>
        </w:rPr>
        <w:t>пог.м</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Установлены пешеходные ограждения улично-дорожной сети на территории МО ГО «Сыктывкар» на следующих участках:</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на Октябрьский проспект, напротив д. 24 (общая протяженность 140м);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на перекрестке ул. Юхнина, Красных партизан (общая протяженность 162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Димитрова (общая протяженность 122м);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Орджоникидзе, Октябрьский проспект (общая протяженность 438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Оплеснина напротив дома №10 ул. Дальняя (общая протяженность 104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Лыткина напротив дома №22 ул. Малышева (общая протяженность 160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Чернова в районе дома №32 по ул. Коммунистическая  (общая протяженность 190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пешеходный переход по ул. Южная, Домны </w:t>
      </w:r>
      <w:proofErr w:type="spellStart"/>
      <w:r w:rsidRPr="00C35A78">
        <w:rPr>
          <w:rFonts w:eastAsia="Times New Roman"/>
          <w:bCs/>
          <w:sz w:val="20"/>
          <w:szCs w:val="20"/>
        </w:rPr>
        <w:t>Каликовой</w:t>
      </w:r>
      <w:proofErr w:type="spellEnd"/>
      <w:r w:rsidRPr="00C35A78">
        <w:rPr>
          <w:rFonts w:eastAsia="Times New Roman"/>
          <w:bCs/>
          <w:sz w:val="20"/>
          <w:szCs w:val="20"/>
        </w:rPr>
        <w:t xml:space="preserve"> (общая протяженность 340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перекресток улицы Западная, Пушкина (общая протяженность 132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lastRenderedPageBreak/>
        <w:t>- пешеходный переход на Октябрьский проспект в районе д. №5 (общая протяженность 152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Банбана, в районе д. №21 (общая протяженность 80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пешеходный переход по </w:t>
      </w:r>
      <w:proofErr w:type="spellStart"/>
      <w:r w:rsidRPr="00C35A78">
        <w:rPr>
          <w:rFonts w:eastAsia="Times New Roman"/>
          <w:bCs/>
          <w:sz w:val="20"/>
          <w:szCs w:val="20"/>
        </w:rPr>
        <w:t>ул</w:t>
      </w:r>
      <w:proofErr w:type="spellEnd"/>
      <w:r w:rsidRPr="00C35A78">
        <w:rPr>
          <w:rFonts w:eastAsia="Times New Roman"/>
          <w:bCs/>
          <w:sz w:val="20"/>
          <w:szCs w:val="20"/>
        </w:rPr>
        <w:t xml:space="preserve"> </w:t>
      </w:r>
      <w:proofErr w:type="spellStart"/>
      <w:r w:rsidRPr="00C35A78">
        <w:rPr>
          <w:rFonts w:eastAsia="Times New Roman"/>
          <w:bCs/>
          <w:sz w:val="20"/>
          <w:szCs w:val="20"/>
        </w:rPr>
        <w:t>Пенчорская</w:t>
      </w:r>
      <w:proofErr w:type="spellEnd"/>
      <w:r w:rsidRPr="00C35A78">
        <w:rPr>
          <w:rFonts w:eastAsia="Times New Roman"/>
          <w:bCs/>
          <w:sz w:val="20"/>
          <w:szCs w:val="20"/>
        </w:rPr>
        <w:t>, в районе д.№12 (общая протяженность 182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Малышева, в районе д. № 6  (общая протяженность 84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пешеходный переход по ул. Судостроительная в районе д. №12 (общая протяженность 142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перекресток улиц Школьная и Почтовая (общая протяженность 204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ул. Школьная напротив дома №17 по ул. Лесозаводская (общая протяженность 168 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Произведены работы по переоборудованию остановочных комплексов:</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установлено 8 новых павильонов по ул. </w:t>
      </w:r>
      <w:proofErr w:type="spellStart"/>
      <w:r w:rsidRPr="00C35A78">
        <w:rPr>
          <w:rFonts w:eastAsia="Times New Roman"/>
          <w:bCs/>
          <w:sz w:val="20"/>
          <w:szCs w:val="20"/>
        </w:rPr>
        <w:t>Сысольское</w:t>
      </w:r>
      <w:proofErr w:type="spellEnd"/>
      <w:r w:rsidRPr="00C35A78">
        <w:rPr>
          <w:rFonts w:eastAsia="Times New Roman"/>
          <w:bCs/>
          <w:sz w:val="20"/>
          <w:szCs w:val="20"/>
        </w:rPr>
        <w:t xml:space="preserve"> шоссе.</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Проведен ремонт тротуара по ул. Интернациональная от ул. Свободы до </w:t>
      </w:r>
      <w:proofErr w:type="spellStart"/>
      <w:r w:rsidRPr="00C35A78">
        <w:rPr>
          <w:rFonts w:eastAsia="Times New Roman"/>
          <w:bCs/>
          <w:sz w:val="20"/>
          <w:szCs w:val="20"/>
        </w:rPr>
        <w:t>ул</w:t>
      </w:r>
      <w:proofErr w:type="spellEnd"/>
      <w:r w:rsidRPr="00C35A78">
        <w:rPr>
          <w:rFonts w:eastAsia="Times New Roman"/>
          <w:bCs/>
          <w:sz w:val="20"/>
          <w:szCs w:val="20"/>
        </w:rPr>
        <w:t xml:space="preserve"> Энгельса (правая сторона) 206п.м.</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В 2022 году были установлены и введены в эксплуатацию 8 светофорных объекта: </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светофорный объект на пешеходный переход ул. Петрозаводская д. 6, д. 8 (д/с №1 и №5);</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светофорный объект на пешеходный переход ул. Южная, Домны </w:t>
      </w:r>
      <w:proofErr w:type="spellStart"/>
      <w:r w:rsidRPr="00C35A78">
        <w:rPr>
          <w:rFonts w:eastAsia="Times New Roman"/>
          <w:bCs/>
          <w:sz w:val="20"/>
          <w:szCs w:val="20"/>
        </w:rPr>
        <w:t>Каликовой</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светофорный объект на пешеходный переход ул. Чернова напротив дома № 32 по ул. Коммунистической;</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светофорный объект на пешеходный переход по Октябрьскому проспекту в районе д. № 5;</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светофорный объект на пешеходный переход ул. Оплеснина напротив дома № 10 по ул. </w:t>
      </w:r>
      <w:proofErr w:type="spellStart"/>
      <w:r w:rsidRPr="00C35A78">
        <w:rPr>
          <w:rFonts w:eastAsia="Times New Roman"/>
          <w:bCs/>
          <w:sz w:val="20"/>
          <w:szCs w:val="20"/>
        </w:rPr>
        <w:t>Дальная</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светофорный объект на пешеходный переход по ул. Лыткина напротив дома 22 по ул. Малышева;</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светофорный объект на пешеходный переход по ул. Школьной напротив дома № 17 по ул. Лесозаводской;</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светофорный объект на пешеходный переход по ул. Катаева напротив дома № 37.</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За 2022 год на территории МО ГО «Сыктывкар» обустроено 7 искусственных неровностей:</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по улице Серова в районе дома 48 (перекресток с </w:t>
      </w:r>
      <w:proofErr w:type="spellStart"/>
      <w:r w:rsidRPr="00C35A78">
        <w:rPr>
          <w:rFonts w:eastAsia="Times New Roman"/>
          <w:bCs/>
          <w:sz w:val="20"/>
          <w:szCs w:val="20"/>
        </w:rPr>
        <w:t>ул</w:t>
      </w:r>
      <w:proofErr w:type="spellEnd"/>
      <w:r w:rsidRPr="00C35A78">
        <w:rPr>
          <w:rFonts w:eastAsia="Times New Roman"/>
          <w:bCs/>
          <w:sz w:val="20"/>
          <w:szCs w:val="20"/>
        </w:rPr>
        <w:t xml:space="preserve"> Северная) (1 шт.);</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по улице Петрозаводская в районе детского сада №1 (1 шт.);</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по улице Колхозная на пересечение с ул. Южная (2 шт.);</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по ул. Петрозаводская в районе дома №25 (2 </w:t>
      </w:r>
      <w:proofErr w:type="spellStart"/>
      <w:r w:rsidRPr="00C35A78">
        <w:rPr>
          <w:rFonts w:eastAsia="Times New Roman"/>
          <w:bCs/>
          <w:sz w:val="20"/>
          <w:szCs w:val="20"/>
        </w:rPr>
        <w:t>шт</w:t>
      </w:r>
      <w:proofErr w:type="spellEnd"/>
      <w:r w:rsidRPr="00C35A78">
        <w:rPr>
          <w:rFonts w:eastAsia="Times New Roman"/>
          <w:bCs/>
          <w:sz w:val="20"/>
          <w:szCs w:val="20"/>
        </w:rPr>
        <w:t>);</w:t>
      </w:r>
    </w:p>
    <w:p w:rsidR="00C35A78" w:rsidRPr="00C35A78" w:rsidRDefault="00C35A78" w:rsidP="00C35A78">
      <w:pPr>
        <w:tabs>
          <w:tab w:val="center" w:pos="7632"/>
        </w:tabs>
        <w:ind w:right="72" w:firstLine="567"/>
        <w:jc w:val="both"/>
        <w:rPr>
          <w:rFonts w:eastAsia="Times New Roman"/>
          <w:bCs/>
          <w:sz w:val="20"/>
          <w:szCs w:val="20"/>
        </w:rPr>
      </w:pPr>
      <w:r w:rsidRPr="00C35A78">
        <w:rPr>
          <w:rFonts w:eastAsia="Times New Roman"/>
          <w:bCs/>
          <w:sz w:val="20"/>
          <w:szCs w:val="20"/>
        </w:rPr>
        <w:t xml:space="preserve">- по </w:t>
      </w:r>
      <w:proofErr w:type="spellStart"/>
      <w:r w:rsidRPr="00C35A78">
        <w:rPr>
          <w:rFonts w:eastAsia="Times New Roman"/>
          <w:bCs/>
          <w:sz w:val="20"/>
          <w:szCs w:val="20"/>
        </w:rPr>
        <w:t>ул</w:t>
      </w:r>
      <w:proofErr w:type="spellEnd"/>
      <w:r w:rsidRPr="00C35A78">
        <w:rPr>
          <w:rFonts w:eastAsia="Times New Roman"/>
          <w:bCs/>
          <w:sz w:val="20"/>
          <w:szCs w:val="20"/>
        </w:rPr>
        <w:t xml:space="preserve"> Ручейная в районе дома 9 по </w:t>
      </w:r>
      <w:proofErr w:type="spellStart"/>
      <w:r w:rsidRPr="00C35A78">
        <w:rPr>
          <w:rFonts w:eastAsia="Times New Roman"/>
          <w:bCs/>
          <w:sz w:val="20"/>
          <w:szCs w:val="20"/>
        </w:rPr>
        <w:t>ул</w:t>
      </w:r>
      <w:proofErr w:type="spellEnd"/>
      <w:r w:rsidRPr="00C35A78">
        <w:rPr>
          <w:rFonts w:eastAsia="Times New Roman"/>
          <w:bCs/>
          <w:sz w:val="20"/>
          <w:szCs w:val="20"/>
        </w:rPr>
        <w:t xml:space="preserve"> Панева (1 </w:t>
      </w:r>
      <w:proofErr w:type="spellStart"/>
      <w:r w:rsidRPr="00C35A78">
        <w:rPr>
          <w:rFonts w:eastAsia="Times New Roman"/>
          <w:bCs/>
          <w:sz w:val="20"/>
          <w:szCs w:val="20"/>
        </w:rPr>
        <w:t>шт</w:t>
      </w:r>
      <w:proofErr w:type="spellEnd"/>
      <w:r w:rsidRPr="00C35A78">
        <w:rPr>
          <w:rFonts w:eastAsia="Times New Roman"/>
          <w:bCs/>
          <w:sz w:val="20"/>
          <w:szCs w:val="20"/>
        </w:rPr>
        <w:t>).</w:t>
      </w:r>
    </w:p>
    <w:p w:rsidR="00C35A78" w:rsidRPr="00FE57F1" w:rsidRDefault="00C35A78" w:rsidP="00C35A78">
      <w:pPr>
        <w:tabs>
          <w:tab w:val="center" w:pos="7632"/>
        </w:tabs>
        <w:ind w:right="72" w:firstLine="567"/>
        <w:jc w:val="both"/>
        <w:rPr>
          <w:rFonts w:eastAsia="Times New Roman"/>
          <w:bCs/>
          <w:sz w:val="20"/>
          <w:szCs w:val="20"/>
        </w:rPr>
      </w:pPr>
      <w:r w:rsidRPr="00FE57F1">
        <w:rPr>
          <w:rFonts w:eastAsia="Times New Roman"/>
          <w:bCs/>
          <w:sz w:val="20"/>
          <w:szCs w:val="20"/>
        </w:rPr>
        <w:t>Проведена проверка сметной стоимости работ по приведению в нормативное состояние автомобильных дорог и улиц на территории МО ГО «Сыктывкар»</w:t>
      </w:r>
    </w:p>
    <w:p w:rsidR="00FE57F1" w:rsidRPr="00FE57F1" w:rsidRDefault="00FE57F1" w:rsidP="00FE57F1">
      <w:pPr>
        <w:ind w:firstLine="567"/>
        <w:jc w:val="both"/>
        <w:rPr>
          <w:sz w:val="20"/>
          <w:szCs w:val="20"/>
        </w:rPr>
      </w:pPr>
      <w:r w:rsidRPr="00FE57F1">
        <w:rPr>
          <w:sz w:val="20"/>
          <w:szCs w:val="20"/>
        </w:rPr>
        <w:t>Значение показателя «</w:t>
      </w:r>
      <w:r w:rsidRPr="00FE57F1">
        <w:rPr>
          <w:i/>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FE57F1">
        <w:rPr>
          <w:sz w:val="20"/>
          <w:szCs w:val="20"/>
        </w:rPr>
        <w:t xml:space="preserve"> в 2022 году составило 0,2%, что соответствует уровню 2021 г. </w:t>
      </w:r>
    </w:p>
    <w:p w:rsidR="00FE57F1" w:rsidRPr="00FE57F1" w:rsidRDefault="00FE57F1" w:rsidP="00FE57F1">
      <w:pPr>
        <w:ind w:firstLine="567"/>
        <w:jc w:val="both"/>
        <w:rPr>
          <w:sz w:val="20"/>
          <w:szCs w:val="20"/>
        </w:rPr>
      </w:pPr>
      <w:r w:rsidRPr="00FE57F1">
        <w:rPr>
          <w:sz w:val="20"/>
          <w:szCs w:val="20"/>
        </w:rPr>
        <w:t xml:space="preserve">В МО ГО «Сыктывкар» функционирует автомобильный, воздушный и железнодорожный транспорт. </w:t>
      </w:r>
    </w:p>
    <w:p w:rsidR="00FE57F1" w:rsidRPr="00FE57F1" w:rsidRDefault="00FE57F1" w:rsidP="00FE57F1">
      <w:pPr>
        <w:ind w:firstLine="567"/>
        <w:jc w:val="both"/>
        <w:rPr>
          <w:sz w:val="20"/>
          <w:szCs w:val="20"/>
        </w:rPr>
      </w:pPr>
      <w:r w:rsidRPr="00FE57F1">
        <w:rPr>
          <w:sz w:val="20"/>
          <w:szCs w:val="20"/>
        </w:rPr>
        <w:t>В 2022г. перевезено по автомобильным муниципальным маршрутам 21 255 952 тыс. пассажиров.</w:t>
      </w:r>
    </w:p>
    <w:p w:rsidR="00FE57F1" w:rsidRPr="00FE57F1" w:rsidRDefault="00FE57F1" w:rsidP="00FE57F1">
      <w:pPr>
        <w:ind w:firstLine="567"/>
        <w:jc w:val="both"/>
        <w:rPr>
          <w:sz w:val="20"/>
          <w:szCs w:val="20"/>
        </w:rPr>
      </w:pPr>
      <w:r w:rsidRPr="00FE57F1">
        <w:rPr>
          <w:sz w:val="20"/>
          <w:szCs w:val="20"/>
        </w:rPr>
        <w:t>В МО ГО «Сыктывкар» действуют следующие муниципальные маршруты: № 1  «Школа 33 - ТРЦ</w:t>
      </w:r>
      <w:proofErr w:type="gramStart"/>
      <w:r w:rsidRPr="00FE57F1">
        <w:rPr>
          <w:sz w:val="20"/>
          <w:szCs w:val="20"/>
        </w:rPr>
        <w:t xml:space="preserve"> М</w:t>
      </w:r>
      <w:proofErr w:type="gramEnd"/>
      <w:r w:rsidRPr="00FE57F1">
        <w:rPr>
          <w:sz w:val="20"/>
          <w:szCs w:val="20"/>
        </w:rPr>
        <w:t>акси»; № 3 «Аэровокзал - с/з Пригородный»; № 4  «Городской автовокзал - с/з Пригородный»; № 5 «Городской автовокзал - Аэровокзал»; № 6 «</w:t>
      </w:r>
      <w:proofErr w:type="spellStart"/>
      <w:r w:rsidRPr="00FE57F1">
        <w:rPr>
          <w:sz w:val="20"/>
          <w:szCs w:val="20"/>
        </w:rPr>
        <w:t>Дырнос</w:t>
      </w:r>
      <w:proofErr w:type="spellEnd"/>
      <w:r w:rsidRPr="00FE57F1">
        <w:rPr>
          <w:sz w:val="20"/>
          <w:szCs w:val="20"/>
        </w:rPr>
        <w:t xml:space="preserve"> - Росгосстрах»; № 7 «Городской автовокзал - Школа 33»; № 9 «Автостанция - Красная гора»; № 12  «СЛПК - автостанция»; № 15  «Городской автовокзал - с/з Пригородный»; № 17  «Кардиоцентр - с/з Пригородный»; № 18  «СЛПК -  Автостанция»; № 19  «Городской автовокзал - Строитель - Городской автовокзал»; № 20   «Опытная станция - Дырнос «; № 21   «СЛТ - Верхний </w:t>
      </w:r>
      <w:proofErr w:type="spellStart"/>
      <w:r w:rsidRPr="00FE57F1">
        <w:rPr>
          <w:sz w:val="20"/>
          <w:szCs w:val="20"/>
        </w:rPr>
        <w:t>Чов</w:t>
      </w:r>
      <w:proofErr w:type="spellEnd"/>
      <w:r w:rsidRPr="00FE57F1">
        <w:rPr>
          <w:sz w:val="20"/>
          <w:szCs w:val="20"/>
        </w:rPr>
        <w:t xml:space="preserve"> «; № 23   «Пл. </w:t>
      </w:r>
      <w:proofErr w:type="spellStart"/>
      <w:r w:rsidRPr="00FE57F1">
        <w:rPr>
          <w:sz w:val="20"/>
          <w:szCs w:val="20"/>
        </w:rPr>
        <w:t>Габова</w:t>
      </w:r>
      <w:proofErr w:type="spellEnd"/>
      <w:r w:rsidRPr="00FE57F1">
        <w:rPr>
          <w:sz w:val="20"/>
          <w:szCs w:val="20"/>
        </w:rPr>
        <w:t xml:space="preserve"> - </w:t>
      </w:r>
      <w:proofErr w:type="spellStart"/>
      <w:r w:rsidRPr="00FE57F1">
        <w:rPr>
          <w:sz w:val="20"/>
          <w:szCs w:val="20"/>
        </w:rPr>
        <w:t>пгт</w:t>
      </w:r>
      <w:proofErr w:type="spellEnd"/>
      <w:r w:rsidRPr="00FE57F1">
        <w:rPr>
          <w:sz w:val="20"/>
          <w:szCs w:val="20"/>
        </w:rPr>
        <w:t xml:space="preserve">. Краснозатонский «; № 23д  «т/б </w:t>
      </w:r>
      <w:proofErr w:type="spellStart"/>
      <w:r w:rsidRPr="00FE57F1">
        <w:rPr>
          <w:sz w:val="20"/>
          <w:szCs w:val="20"/>
        </w:rPr>
        <w:t>Лемью</w:t>
      </w:r>
      <w:proofErr w:type="spellEnd"/>
      <w:r w:rsidRPr="00FE57F1">
        <w:rPr>
          <w:sz w:val="20"/>
          <w:szCs w:val="20"/>
        </w:rPr>
        <w:t xml:space="preserve"> - ЦВК»; № 24   «Росгосстрах - Верхний </w:t>
      </w:r>
      <w:proofErr w:type="spellStart"/>
      <w:r w:rsidRPr="00FE57F1">
        <w:rPr>
          <w:sz w:val="20"/>
          <w:szCs w:val="20"/>
        </w:rPr>
        <w:t>Чов</w:t>
      </w:r>
      <w:proofErr w:type="spellEnd"/>
      <w:r w:rsidRPr="00FE57F1">
        <w:rPr>
          <w:sz w:val="20"/>
          <w:szCs w:val="20"/>
        </w:rPr>
        <w:t>»; № 25  «</w:t>
      </w:r>
      <w:proofErr w:type="spellStart"/>
      <w:r w:rsidRPr="00FE57F1">
        <w:rPr>
          <w:sz w:val="20"/>
          <w:szCs w:val="20"/>
        </w:rPr>
        <w:t>пл</w:t>
      </w:r>
      <w:proofErr w:type="gramStart"/>
      <w:r w:rsidRPr="00FE57F1">
        <w:rPr>
          <w:sz w:val="20"/>
          <w:szCs w:val="20"/>
        </w:rPr>
        <w:t>.Г</w:t>
      </w:r>
      <w:proofErr w:type="gramEnd"/>
      <w:r w:rsidRPr="00FE57F1">
        <w:rPr>
          <w:sz w:val="20"/>
          <w:szCs w:val="20"/>
        </w:rPr>
        <w:t>абова</w:t>
      </w:r>
      <w:proofErr w:type="spellEnd"/>
      <w:r w:rsidRPr="00FE57F1">
        <w:rPr>
          <w:sz w:val="20"/>
          <w:szCs w:val="20"/>
        </w:rPr>
        <w:t xml:space="preserve"> - Верхняя Максаковка»;  № 26  «Автостанция - п. </w:t>
      </w:r>
      <w:proofErr w:type="spellStart"/>
      <w:r w:rsidRPr="00FE57F1">
        <w:rPr>
          <w:sz w:val="20"/>
          <w:szCs w:val="20"/>
        </w:rPr>
        <w:t>Седкыркещ</w:t>
      </w:r>
      <w:proofErr w:type="spellEnd"/>
      <w:r w:rsidRPr="00FE57F1">
        <w:rPr>
          <w:sz w:val="20"/>
          <w:szCs w:val="20"/>
        </w:rPr>
        <w:t>»; № 28   «ул. 65 лет Победы - ТРЦ «Макси»; № 29а   «Городской автовокзал - м.Заречье»; № 30  «Ж/Д вокзал - Дырнос-3»; № 33а   «Городской автовокзал - СФЗ»; № 36  «Орбита - Дырнос-3»; № 38  «ул. К.Маркса - общ. Дырнос-3»; № 44   «Городской автовокзал - ул. Тентюковская»; № 46  «</w:t>
      </w:r>
      <w:proofErr w:type="spellStart"/>
      <w:r w:rsidRPr="00FE57F1">
        <w:rPr>
          <w:sz w:val="20"/>
          <w:szCs w:val="20"/>
        </w:rPr>
        <w:t>Давпон</w:t>
      </w:r>
      <w:proofErr w:type="spellEnd"/>
      <w:r w:rsidRPr="00FE57F1">
        <w:rPr>
          <w:sz w:val="20"/>
          <w:szCs w:val="20"/>
        </w:rPr>
        <w:t xml:space="preserve"> - Автостанция - </w:t>
      </w:r>
      <w:proofErr w:type="spellStart"/>
      <w:r w:rsidRPr="00FE57F1">
        <w:rPr>
          <w:sz w:val="20"/>
          <w:szCs w:val="20"/>
        </w:rPr>
        <w:t>Давпон</w:t>
      </w:r>
      <w:proofErr w:type="spellEnd"/>
      <w:r w:rsidRPr="00FE57F1">
        <w:rPr>
          <w:sz w:val="20"/>
          <w:szCs w:val="20"/>
        </w:rPr>
        <w:t xml:space="preserve">»; № 54  «Ж/Д вокзал </w:t>
      </w:r>
      <w:proofErr w:type="gramStart"/>
      <w:r w:rsidRPr="00FE57F1">
        <w:rPr>
          <w:sz w:val="20"/>
          <w:szCs w:val="20"/>
        </w:rPr>
        <w:t>-у</w:t>
      </w:r>
      <w:proofErr w:type="gramEnd"/>
      <w:r w:rsidRPr="00FE57F1">
        <w:rPr>
          <w:sz w:val="20"/>
          <w:szCs w:val="20"/>
        </w:rPr>
        <w:t xml:space="preserve">л. Славы»; № 55  «Ж/Д вокзал - Диагностический центр»; № 102 «Автостанция - </w:t>
      </w:r>
      <w:proofErr w:type="spellStart"/>
      <w:r w:rsidRPr="00FE57F1">
        <w:rPr>
          <w:sz w:val="20"/>
          <w:szCs w:val="20"/>
        </w:rPr>
        <w:t>Максаковские</w:t>
      </w:r>
      <w:proofErr w:type="spellEnd"/>
      <w:r w:rsidRPr="00FE57F1">
        <w:rPr>
          <w:sz w:val="20"/>
          <w:szCs w:val="20"/>
        </w:rPr>
        <w:t xml:space="preserve"> дачи»; № 103  «Автостанция - </w:t>
      </w:r>
      <w:proofErr w:type="spellStart"/>
      <w:r w:rsidRPr="00FE57F1">
        <w:rPr>
          <w:sz w:val="20"/>
          <w:szCs w:val="20"/>
        </w:rPr>
        <w:t>Мырты</w:t>
      </w:r>
      <w:proofErr w:type="spellEnd"/>
      <w:r w:rsidRPr="00FE57F1">
        <w:rPr>
          <w:sz w:val="20"/>
          <w:szCs w:val="20"/>
        </w:rPr>
        <w:t xml:space="preserve"> -Ю»; № 105  «Автостанция - общ. Здоровье»; № 109  «Ж/Д вокзал </w:t>
      </w:r>
      <w:proofErr w:type="gramStart"/>
      <w:r w:rsidRPr="00FE57F1">
        <w:rPr>
          <w:sz w:val="20"/>
          <w:szCs w:val="20"/>
        </w:rPr>
        <w:t>-</w:t>
      </w:r>
      <w:proofErr w:type="spellStart"/>
      <w:r w:rsidRPr="00FE57F1">
        <w:rPr>
          <w:sz w:val="20"/>
          <w:szCs w:val="20"/>
        </w:rPr>
        <w:t>М</w:t>
      </w:r>
      <w:proofErr w:type="gramEnd"/>
      <w:r w:rsidRPr="00FE57F1">
        <w:rPr>
          <w:sz w:val="20"/>
          <w:szCs w:val="20"/>
        </w:rPr>
        <w:t>ырты</w:t>
      </w:r>
      <w:proofErr w:type="spellEnd"/>
      <w:r w:rsidRPr="00FE57F1">
        <w:rPr>
          <w:sz w:val="20"/>
          <w:szCs w:val="20"/>
        </w:rPr>
        <w:t xml:space="preserve"> - Ю»; № 126 «Орбита - </w:t>
      </w:r>
      <w:proofErr w:type="spellStart"/>
      <w:r w:rsidRPr="00FE57F1">
        <w:rPr>
          <w:sz w:val="20"/>
          <w:szCs w:val="20"/>
        </w:rPr>
        <w:t>Максаковские</w:t>
      </w:r>
      <w:proofErr w:type="spellEnd"/>
      <w:r w:rsidRPr="00FE57F1">
        <w:rPr>
          <w:sz w:val="20"/>
          <w:szCs w:val="20"/>
        </w:rPr>
        <w:t xml:space="preserve"> дачи»; № 11 «ул. Славы - общ. Панель»; № 13 «ул. Славы - СЛПК»; № 14 «Больничный комплекс - п. Строитель»;№27«СЛПК - ул. Славы»,№ 33а «Городской автовокзал — СФЗ».</w:t>
      </w:r>
    </w:p>
    <w:p w:rsidR="00FE57F1" w:rsidRPr="00FE57F1" w:rsidRDefault="00FE57F1" w:rsidP="00FE57F1">
      <w:pPr>
        <w:ind w:firstLine="567"/>
        <w:jc w:val="both"/>
        <w:rPr>
          <w:sz w:val="20"/>
          <w:szCs w:val="20"/>
        </w:rPr>
      </w:pPr>
      <w:r w:rsidRPr="00FE57F1">
        <w:rPr>
          <w:sz w:val="20"/>
          <w:szCs w:val="20"/>
        </w:rPr>
        <w:t>Общее число задействованного транспорта на территории МО ГО Сыктывкар и Эжвинского района по муниципальным маршрутам составляло 263 единиц. Население города обслуживалось пятью крупными перевозчиками: АО «Комиавтотранс» (12 муниципальных маршрутов); Товарищество ИП (на основании договора простого товарищества от 26.11.2018) (11 муниципальных маршрутов); Товарищество ИП (на основании договора простого товарищества от 15.08.2021) (2 муниципальных маршрута); ООО «</w:t>
      </w:r>
      <w:proofErr w:type="spellStart"/>
      <w:r w:rsidRPr="00FE57F1">
        <w:rPr>
          <w:sz w:val="20"/>
          <w:szCs w:val="20"/>
        </w:rPr>
        <w:t>Автотранссервис</w:t>
      </w:r>
      <w:proofErr w:type="spellEnd"/>
      <w:r w:rsidRPr="00FE57F1">
        <w:rPr>
          <w:sz w:val="20"/>
          <w:szCs w:val="20"/>
        </w:rPr>
        <w:t xml:space="preserve">» (2 муниципальных маршрута); ИП </w:t>
      </w:r>
      <w:proofErr w:type="spellStart"/>
      <w:r w:rsidRPr="00FE57F1">
        <w:rPr>
          <w:sz w:val="20"/>
          <w:szCs w:val="20"/>
        </w:rPr>
        <w:t>Зезегов</w:t>
      </w:r>
      <w:proofErr w:type="spellEnd"/>
      <w:r w:rsidRPr="00FE57F1">
        <w:rPr>
          <w:sz w:val="20"/>
          <w:szCs w:val="20"/>
        </w:rPr>
        <w:t xml:space="preserve"> В.Ю. - (6 муниципальных маршрутов); ИП </w:t>
      </w:r>
      <w:proofErr w:type="spellStart"/>
      <w:r w:rsidRPr="00FE57F1">
        <w:rPr>
          <w:sz w:val="20"/>
          <w:szCs w:val="20"/>
        </w:rPr>
        <w:t>Зварич</w:t>
      </w:r>
      <w:proofErr w:type="spellEnd"/>
      <w:r w:rsidRPr="00FE57F1">
        <w:rPr>
          <w:sz w:val="20"/>
          <w:szCs w:val="20"/>
        </w:rPr>
        <w:t xml:space="preserve"> В.Г. - (1 муниципальный маршрут).</w:t>
      </w:r>
    </w:p>
    <w:p w:rsidR="00FE57F1" w:rsidRPr="00FE57F1" w:rsidRDefault="00FE57F1" w:rsidP="00FE57F1">
      <w:pPr>
        <w:pStyle w:val="1"/>
        <w:ind w:firstLine="709"/>
        <w:rPr>
          <w:rFonts w:ascii="Times New Roman" w:eastAsia="Calibri" w:hAnsi="Times New Roman"/>
          <w:sz w:val="20"/>
        </w:rPr>
      </w:pPr>
      <w:r w:rsidRPr="00FE57F1">
        <w:rPr>
          <w:rFonts w:ascii="Times New Roman" w:eastAsia="Calibri" w:hAnsi="Times New Roman"/>
          <w:sz w:val="20"/>
        </w:rPr>
        <w:t>Перевозки пассажиров в поездах дальнего следования из города Сыктывкара по территории Республики Коми и за пределы республики осуществляются Акционерным обществом «Федеральная пассажирская компания» (АО «ФПК») по следующим маршрутам: Сыктывкар–Москва (круглогодично); Сыктывкар</w:t>
      </w:r>
      <w:proofErr w:type="gramStart"/>
      <w:r w:rsidRPr="00FE57F1">
        <w:rPr>
          <w:rFonts w:ascii="Times New Roman" w:eastAsia="Calibri" w:hAnsi="Times New Roman"/>
          <w:sz w:val="20"/>
        </w:rPr>
        <w:t>‒С</w:t>
      </w:r>
      <w:proofErr w:type="gramEnd"/>
      <w:r w:rsidRPr="00FE57F1">
        <w:rPr>
          <w:rFonts w:ascii="Times New Roman" w:eastAsia="Calibri" w:hAnsi="Times New Roman"/>
          <w:sz w:val="20"/>
        </w:rPr>
        <w:t>анкт‒Петербург (круглогодично); Сыктывкар–Кослан (круглогодично); Сыктывкар–Усинск (круглогодично); Сыктывкар–Воркута (беспересадочный вагон, круглогодично); Сыктывкар‒Адлер (в летний период); Сыктывкар‒Новороссийск (в летний период).</w:t>
      </w:r>
    </w:p>
    <w:p w:rsidR="00FE57F1" w:rsidRPr="00FE57F1" w:rsidRDefault="00FE57F1" w:rsidP="00FE57F1">
      <w:pPr>
        <w:pStyle w:val="1"/>
        <w:ind w:firstLine="709"/>
        <w:rPr>
          <w:rFonts w:ascii="Times New Roman" w:eastAsia="Calibri" w:hAnsi="Times New Roman"/>
          <w:sz w:val="20"/>
        </w:rPr>
      </w:pPr>
      <w:r w:rsidRPr="00FE57F1">
        <w:rPr>
          <w:rFonts w:ascii="Times New Roman" w:eastAsia="Calibri" w:hAnsi="Times New Roman"/>
          <w:sz w:val="20"/>
        </w:rPr>
        <w:lastRenderedPageBreak/>
        <w:t>Количество перевезенных пассажиров поездами дальнего следования по ст. Сыктывкар в 2022 году составило 382 267 человек (в том числе отправлено 187 824 человека, прибыло 194 443 человека), что на 11% больше, чем в 2021 году.</w:t>
      </w:r>
    </w:p>
    <w:p w:rsidR="00FE57F1" w:rsidRPr="00FE57F1" w:rsidRDefault="00FE57F1" w:rsidP="00FE57F1">
      <w:pPr>
        <w:ind w:firstLine="709"/>
        <w:jc w:val="both"/>
        <w:rPr>
          <w:sz w:val="20"/>
          <w:szCs w:val="20"/>
        </w:rPr>
      </w:pPr>
      <w:proofErr w:type="gramStart"/>
      <w:r w:rsidRPr="00FE57F1">
        <w:rPr>
          <w:sz w:val="20"/>
          <w:szCs w:val="20"/>
        </w:rPr>
        <w:t xml:space="preserve">В 2022 году через г. Сыктывкар был организован 21 межмуниципальный маршрут регулярных перевозок: № 101 «Плавательный бассейн – </w:t>
      </w:r>
      <w:proofErr w:type="spellStart"/>
      <w:r w:rsidRPr="00FE57F1">
        <w:rPr>
          <w:sz w:val="20"/>
          <w:szCs w:val="20"/>
        </w:rPr>
        <w:t>Выльгорт</w:t>
      </w:r>
      <w:proofErr w:type="spellEnd"/>
      <w:r w:rsidRPr="00FE57F1">
        <w:rPr>
          <w:sz w:val="20"/>
          <w:szCs w:val="20"/>
        </w:rPr>
        <w:t xml:space="preserve">, Птицефабрика», № 107 «Сыктывкар – Нювчим», № 108 «Плавательный бассейн – </w:t>
      </w:r>
      <w:proofErr w:type="spellStart"/>
      <w:r w:rsidRPr="00FE57F1">
        <w:rPr>
          <w:sz w:val="20"/>
          <w:szCs w:val="20"/>
        </w:rPr>
        <w:t>Парчег</w:t>
      </w:r>
      <w:proofErr w:type="spellEnd"/>
      <w:r w:rsidRPr="00FE57F1">
        <w:rPr>
          <w:sz w:val="20"/>
          <w:szCs w:val="20"/>
        </w:rPr>
        <w:t xml:space="preserve">», № 112 «Сыктывкар – </w:t>
      </w:r>
      <w:proofErr w:type="spellStart"/>
      <w:r w:rsidRPr="00FE57F1">
        <w:rPr>
          <w:sz w:val="20"/>
          <w:szCs w:val="20"/>
        </w:rPr>
        <w:t>Гаръя</w:t>
      </w:r>
      <w:proofErr w:type="spellEnd"/>
      <w:r w:rsidRPr="00FE57F1">
        <w:rPr>
          <w:sz w:val="20"/>
          <w:szCs w:val="20"/>
        </w:rPr>
        <w:t>», № 113 «Сыктывкар – Красная», № 114 «Сыктывкар – Дань-Дор», № 115 «Сыктывкар – Корткерос», № 174 «</w:t>
      </w:r>
      <w:proofErr w:type="spellStart"/>
      <w:r w:rsidRPr="00FE57F1">
        <w:rPr>
          <w:rFonts w:eastAsia="Times New Roman"/>
          <w:sz w:val="20"/>
          <w:szCs w:val="20"/>
        </w:rPr>
        <w:t>Выльгорт</w:t>
      </w:r>
      <w:proofErr w:type="spellEnd"/>
      <w:r w:rsidRPr="00FE57F1">
        <w:rPr>
          <w:rFonts w:eastAsia="Times New Roman"/>
          <w:sz w:val="20"/>
          <w:szCs w:val="20"/>
        </w:rPr>
        <w:t xml:space="preserve"> – Аэровокзал»,</w:t>
      </w:r>
      <w:r w:rsidRPr="00FE57F1">
        <w:rPr>
          <w:sz w:val="20"/>
          <w:szCs w:val="20"/>
        </w:rPr>
        <w:t xml:space="preserve"> № 502 «Сыктывкар – </w:t>
      </w:r>
      <w:proofErr w:type="spellStart"/>
      <w:r w:rsidRPr="00FE57F1">
        <w:rPr>
          <w:sz w:val="20"/>
          <w:szCs w:val="20"/>
        </w:rPr>
        <w:t>Лойма</w:t>
      </w:r>
      <w:proofErr w:type="spellEnd"/>
      <w:r w:rsidRPr="00FE57F1">
        <w:rPr>
          <w:sz w:val="20"/>
          <w:szCs w:val="20"/>
        </w:rPr>
        <w:t xml:space="preserve">», № 504 «Сыктывкар – Койгородок», № 506 «Сыктывкар – Вуктыл», № 507 «Сыктывкар – Визинга», № 509 «Сыктывкар – Койгородок», № 514 «Сыктывкар – </w:t>
      </w:r>
      <w:proofErr w:type="spellStart"/>
      <w:r w:rsidRPr="00FE57F1">
        <w:rPr>
          <w:sz w:val="20"/>
          <w:szCs w:val="20"/>
        </w:rPr>
        <w:t>Волокул</w:t>
      </w:r>
      <w:proofErr w:type="spellEnd"/>
      <w:r w:rsidRPr="00FE57F1">
        <w:rPr>
          <w:sz w:val="20"/>
          <w:szCs w:val="20"/>
        </w:rPr>
        <w:t>», № 519 «Сыктывкар</w:t>
      </w:r>
      <w:proofErr w:type="gramEnd"/>
      <w:r w:rsidRPr="00FE57F1">
        <w:rPr>
          <w:sz w:val="20"/>
          <w:szCs w:val="20"/>
        </w:rPr>
        <w:t xml:space="preserve"> – </w:t>
      </w:r>
      <w:proofErr w:type="spellStart"/>
      <w:proofErr w:type="gramStart"/>
      <w:r w:rsidRPr="00FE57F1">
        <w:rPr>
          <w:sz w:val="20"/>
          <w:szCs w:val="20"/>
        </w:rPr>
        <w:t>Коквицы</w:t>
      </w:r>
      <w:proofErr w:type="spellEnd"/>
      <w:r w:rsidRPr="00FE57F1">
        <w:rPr>
          <w:sz w:val="20"/>
          <w:szCs w:val="20"/>
        </w:rPr>
        <w:t>», № 521 «Сыктывкар — Усть-Кулом», № 524 «Сыктывкар – Нившера», № 525 «Сыктывкар – Микунь»,</w:t>
      </w:r>
      <w:r w:rsidRPr="00FE57F1">
        <w:rPr>
          <w:color w:val="FF0000"/>
          <w:sz w:val="20"/>
          <w:szCs w:val="20"/>
        </w:rPr>
        <w:t xml:space="preserve"> </w:t>
      </w:r>
      <w:r w:rsidRPr="00FE57F1">
        <w:rPr>
          <w:sz w:val="20"/>
          <w:szCs w:val="20"/>
        </w:rPr>
        <w:t>№ 567 «Сыктывкар – Ухта», № 576 «Усть-Цильма — Сыктывкар», № 569 «</w:t>
      </w:r>
      <w:proofErr w:type="spellStart"/>
      <w:r w:rsidRPr="00FE57F1">
        <w:rPr>
          <w:sz w:val="20"/>
          <w:szCs w:val="20"/>
        </w:rPr>
        <w:t>Уръёль</w:t>
      </w:r>
      <w:proofErr w:type="spellEnd"/>
      <w:r w:rsidRPr="00FE57F1">
        <w:rPr>
          <w:sz w:val="20"/>
          <w:szCs w:val="20"/>
        </w:rPr>
        <w:t xml:space="preserve"> – Сыктывкар», а также 5 сезонных (дачных) маршрутов № 111 «Автостанция – общество Магистраль», № 124 «Железнодорожный вокзал – </w:t>
      </w:r>
      <w:proofErr w:type="spellStart"/>
      <w:r w:rsidRPr="00FE57F1">
        <w:rPr>
          <w:sz w:val="20"/>
          <w:szCs w:val="20"/>
        </w:rPr>
        <w:t>Морово</w:t>
      </w:r>
      <w:proofErr w:type="spellEnd"/>
      <w:r w:rsidRPr="00FE57F1">
        <w:rPr>
          <w:sz w:val="20"/>
          <w:szCs w:val="20"/>
        </w:rPr>
        <w:t xml:space="preserve">», № 125 «Орбита – Мелиоратор», № 127 «Орбита – </w:t>
      </w:r>
      <w:proofErr w:type="spellStart"/>
      <w:r w:rsidRPr="00FE57F1">
        <w:rPr>
          <w:sz w:val="20"/>
          <w:szCs w:val="20"/>
        </w:rPr>
        <w:t>Морово</w:t>
      </w:r>
      <w:proofErr w:type="spellEnd"/>
      <w:r w:rsidRPr="00FE57F1">
        <w:rPr>
          <w:sz w:val="20"/>
          <w:szCs w:val="20"/>
        </w:rPr>
        <w:t xml:space="preserve">», № 128 «Ул. Карла Маркса – </w:t>
      </w:r>
      <w:proofErr w:type="spellStart"/>
      <w:r w:rsidRPr="00FE57F1">
        <w:rPr>
          <w:sz w:val="20"/>
          <w:szCs w:val="20"/>
        </w:rPr>
        <w:t>Човские</w:t>
      </w:r>
      <w:proofErr w:type="spellEnd"/>
      <w:r w:rsidRPr="00FE57F1">
        <w:rPr>
          <w:sz w:val="20"/>
          <w:szCs w:val="20"/>
        </w:rPr>
        <w:t xml:space="preserve"> Зори».</w:t>
      </w:r>
      <w:proofErr w:type="gramEnd"/>
    </w:p>
    <w:p w:rsidR="00FE57F1" w:rsidRPr="00FE57F1" w:rsidRDefault="00FE57F1" w:rsidP="00FE57F1">
      <w:pPr>
        <w:ind w:firstLine="709"/>
        <w:jc w:val="both"/>
        <w:rPr>
          <w:sz w:val="20"/>
          <w:szCs w:val="20"/>
        </w:rPr>
      </w:pPr>
      <w:r w:rsidRPr="00FE57F1">
        <w:rPr>
          <w:sz w:val="20"/>
          <w:szCs w:val="20"/>
        </w:rPr>
        <w:t>Пассажиропоток по межмуниципальным маршрутам, проходящим через г. Сыктывкар за 2022 год составил 3 225,8 тыс. человек (в 2021 году –  3 750,7 тыс. человек).</w:t>
      </w:r>
    </w:p>
    <w:p w:rsidR="00FE57F1" w:rsidRPr="00FE57F1" w:rsidRDefault="00FE57F1" w:rsidP="00FE57F1">
      <w:pPr>
        <w:ind w:firstLine="709"/>
        <w:jc w:val="both"/>
        <w:rPr>
          <w:sz w:val="20"/>
          <w:szCs w:val="20"/>
        </w:rPr>
      </w:pPr>
      <w:r w:rsidRPr="00FE57F1">
        <w:rPr>
          <w:sz w:val="20"/>
          <w:szCs w:val="20"/>
        </w:rPr>
        <w:t>На территории г. Сыктывкара функционирует одна автостанция, транспортное обслуживание населения по межмуниципальным маршрутам регулярных автобусных перевозок в 2022 году осуществляли 11 предпринимателей и организаций: ИП </w:t>
      </w:r>
      <w:proofErr w:type="spellStart"/>
      <w:r w:rsidRPr="00FE57F1">
        <w:rPr>
          <w:sz w:val="20"/>
          <w:szCs w:val="20"/>
        </w:rPr>
        <w:t>Рехвиашвили</w:t>
      </w:r>
      <w:proofErr w:type="spellEnd"/>
      <w:r w:rsidRPr="00FE57F1">
        <w:rPr>
          <w:sz w:val="20"/>
          <w:szCs w:val="20"/>
        </w:rPr>
        <w:t xml:space="preserve"> С.В. (2 маршрута), ИП Карпова С.В. (4 маршрута), ИП </w:t>
      </w:r>
      <w:proofErr w:type="spellStart"/>
      <w:r w:rsidRPr="00FE57F1">
        <w:rPr>
          <w:sz w:val="20"/>
          <w:szCs w:val="20"/>
        </w:rPr>
        <w:t>Русакова</w:t>
      </w:r>
      <w:proofErr w:type="spellEnd"/>
      <w:r w:rsidRPr="00FE57F1">
        <w:rPr>
          <w:sz w:val="20"/>
          <w:szCs w:val="20"/>
        </w:rPr>
        <w:t> Л.Н., ИП Михайлов М.А., ИП Васильев А.И., ИП Иванова Н.Е., ИП Вишняков Н.Н., ИП </w:t>
      </w:r>
      <w:proofErr w:type="spellStart"/>
      <w:r w:rsidRPr="00FE57F1">
        <w:rPr>
          <w:sz w:val="20"/>
          <w:szCs w:val="20"/>
        </w:rPr>
        <w:t>Зюзев</w:t>
      </w:r>
      <w:proofErr w:type="spellEnd"/>
      <w:r w:rsidRPr="00FE57F1">
        <w:rPr>
          <w:sz w:val="20"/>
          <w:szCs w:val="20"/>
        </w:rPr>
        <w:t> В.А., АО «</w:t>
      </w:r>
      <w:proofErr w:type="spellStart"/>
      <w:r w:rsidRPr="00FE57F1">
        <w:rPr>
          <w:sz w:val="20"/>
          <w:szCs w:val="20"/>
        </w:rPr>
        <w:t>Комиавтотранс</w:t>
      </w:r>
      <w:proofErr w:type="spellEnd"/>
      <w:r w:rsidRPr="00FE57F1">
        <w:rPr>
          <w:sz w:val="20"/>
          <w:szCs w:val="20"/>
        </w:rPr>
        <w:t>» (8 маршрутов), ООО «Ухтинское АТП», ООО «Север-Плюс».</w:t>
      </w:r>
    </w:p>
    <w:p w:rsidR="00FE57F1" w:rsidRPr="00FE57F1" w:rsidRDefault="00FE57F1" w:rsidP="00FE57F1">
      <w:pPr>
        <w:ind w:firstLine="709"/>
        <w:jc w:val="both"/>
        <w:rPr>
          <w:sz w:val="20"/>
          <w:szCs w:val="20"/>
        </w:rPr>
      </w:pPr>
      <w:r w:rsidRPr="00FE57F1">
        <w:rPr>
          <w:sz w:val="20"/>
          <w:szCs w:val="20"/>
        </w:rPr>
        <w:t>В декабре 2022 г. предприятие АО «Комиавтотранс» передано в собственность администрации МО ГО «Сыктывкар».</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Из города Сыктывкара в 2022 году были организованы пассажирские авиаперевозки по 6 республиканским маршрутам: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 Сыктывкар – Воркута – Сыктывкар; </w:t>
      </w:r>
    </w:p>
    <w:p w:rsidR="00FE57F1" w:rsidRPr="00FE57F1" w:rsidRDefault="00FE57F1" w:rsidP="00FE57F1">
      <w:pPr>
        <w:ind w:firstLine="709"/>
        <w:jc w:val="both"/>
        <w:rPr>
          <w:rFonts w:eastAsia="Times New Roman"/>
          <w:sz w:val="20"/>
          <w:szCs w:val="20"/>
        </w:rPr>
      </w:pPr>
      <w:r w:rsidRPr="00FE57F1">
        <w:rPr>
          <w:rFonts w:eastAsia="Times New Roman"/>
          <w:sz w:val="20"/>
          <w:szCs w:val="20"/>
        </w:rPr>
        <w:sym w:font="Symbol" w:char="F02D"/>
      </w:r>
      <w:r w:rsidRPr="00FE57F1">
        <w:rPr>
          <w:rFonts w:eastAsia="Times New Roman"/>
          <w:sz w:val="20"/>
          <w:szCs w:val="20"/>
        </w:rPr>
        <w:t xml:space="preserve"> Сыктывкар – Усинск – Сыктывкар; </w:t>
      </w:r>
    </w:p>
    <w:p w:rsidR="00FE57F1" w:rsidRPr="00FE57F1" w:rsidRDefault="00FE57F1" w:rsidP="00FE57F1">
      <w:pPr>
        <w:ind w:firstLine="709"/>
        <w:jc w:val="both"/>
        <w:rPr>
          <w:rFonts w:eastAsia="Times New Roman"/>
          <w:sz w:val="20"/>
          <w:szCs w:val="20"/>
        </w:rPr>
      </w:pPr>
      <w:r w:rsidRPr="00FE57F1">
        <w:rPr>
          <w:rFonts w:eastAsia="Times New Roman"/>
          <w:sz w:val="20"/>
          <w:szCs w:val="20"/>
        </w:rPr>
        <w:sym w:font="Symbol" w:char="F02D"/>
      </w:r>
      <w:r w:rsidRPr="00FE57F1">
        <w:rPr>
          <w:rFonts w:eastAsia="Times New Roman"/>
          <w:sz w:val="20"/>
          <w:szCs w:val="20"/>
        </w:rPr>
        <w:t xml:space="preserve"> Сыктывкар – Усть-Цильма – Сыктывкар; </w:t>
      </w:r>
    </w:p>
    <w:p w:rsidR="00FE57F1" w:rsidRPr="00FE57F1" w:rsidRDefault="00FE57F1" w:rsidP="00FE57F1">
      <w:pPr>
        <w:ind w:firstLine="709"/>
        <w:jc w:val="both"/>
        <w:rPr>
          <w:rFonts w:eastAsia="Times New Roman"/>
          <w:sz w:val="20"/>
          <w:szCs w:val="20"/>
        </w:rPr>
      </w:pPr>
      <w:r w:rsidRPr="00FE57F1">
        <w:rPr>
          <w:rFonts w:eastAsia="Times New Roman"/>
          <w:sz w:val="20"/>
          <w:szCs w:val="20"/>
        </w:rPr>
        <w:sym w:font="Symbol" w:char="F02D"/>
      </w:r>
      <w:r w:rsidRPr="00FE57F1">
        <w:rPr>
          <w:rFonts w:eastAsia="Times New Roman"/>
          <w:sz w:val="20"/>
          <w:szCs w:val="20"/>
        </w:rPr>
        <w:t xml:space="preserve"> Сыктывкар – Печора – Воркута – Печора – Сыктывкар.</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За пределы республики из Сыктывкара осуществлялись авиарейсы по направлениям: Москва, Санкт-Петербург, Екатеринбург, Нарьян-Мар, Архангельск, Казань, Сочи. Авиарейсы по направлениям: Екатеринбург, Архангельск, Казань – </w:t>
      </w:r>
      <w:proofErr w:type="gramStart"/>
      <w:r w:rsidRPr="00FE57F1">
        <w:rPr>
          <w:rFonts w:eastAsia="Times New Roman"/>
          <w:sz w:val="20"/>
          <w:szCs w:val="20"/>
        </w:rPr>
        <w:t>субсидируемые</w:t>
      </w:r>
      <w:proofErr w:type="gramEnd"/>
      <w:r w:rsidRPr="00FE57F1">
        <w:rPr>
          <w:rFonts w:eastAsia="Times New Roman"/>
          <w:sz w:val="20"/>
          <w:szCs w:val="20"/>
        </w:rPr>
        <w:t>.</w:t>
      </w:r>
    </w:p>
    <w:p w:rsidR="00FE57F1" w:rsidRPr="00FE57F1" w:rsidRDefault="00FE57F1" w:rsidP="00FE57F1">
      <w:pPr>
        <w:ind w:firstLine="709"/>
        <w:jc w:val="both"/>
        <w:rPr>
          <w:rFonts w:eastAsia="Times New Roman"/>
          <w:sz w:val="20"/>
          <w:szCs w:val="20"/>
        </w:rPr>
      </w:pPr>
      <w:proofErr w:type="spellStart"/>
      <w:proofErr w:type="gramStart"/>
      <w:r w:rsidRPr="00FE57F1">
        <w:rPr>
          <w:rFonts w:eastAsia="Times New Roman"/>
          <w:sz w:val="20"/>
          <w:szCs w:val="20"/>
        </w:rPr>
        <w:t>Внутрирегиональные</w:t>
      </w:r>
      <w:proofErr w:type="spellEnd"/>
      <w:r w:rsidRPr="00FE57F1">
        <w:rPr>
          <w:rFonts w:eastAsia="Times New Roman"/>
          <w:sz w:val="20"/>
          <w:szCs w:val="20"/>
        </w:rPr>
        <w:t xml:space="preserve"> авиаперевозки выполнялись авиакомпанией </w:t>
      </w:r>
      <w:r w:rsidRPr="00FE57F1">
        <w:rPr>
          <w:rFonts w:eastAsia="Times New Roman"/>
          <w:sz w:val="20"/>
          <w:szCs w:val="20"/>
        </w:rPr>
        <w:br/>
        <w:t>АО «</w:t>
      </w:r>
      <w:proofErr w:type="spellStart"/>
      <w:r w:rsidRPr="00FE57F1">
        <w:rPr>
          <w:rFonts w:eastAsia="Times New Roman"/>
          <w:sz w:val="20"/>
          <w:szCs w:val="20"/>
        </w:rPr>
        <w:t>Комиавиатранс</w:t>
      </w:r>
      <w:proofErr w:type="spellEnd"/>
      <w:r w:rsidRPr="00FE57F1">
        <w:rPr>
          <w:rFonts w:eastAsia="Times New Roman"/>
          <w:sz w:val="20"/>
          <w:szCs w:val="20"/>
        </w:rPr>
        <w:t>», межрегиональные – АО АК «</w:t>
      </w:r>
      <w:proofErr w:type="spellStart"/>
      <w:r w:rsidRPr="00FE57F1">
        <w:rPr>
          <w:rFonts w:eastAsia="Times New Roman"/>
          <w:sz w:val="20"/>
          <w:szCs w:val="20"/>
        </w:rPr>
        <w:t>РусЛайн</w:t>
      </w:r>
      <w:proofErr w:type="spellEnd"/>
      <w:r w:rsidRPr="00FE57F1">
        <w:rPr>
          <w:rFonts w:eastAsia="Times New Roman"/>
          <w:sz w:val="20"/>
          <w:szCs w:val="20"/>
        </w:rPr>
        <w:t xml:space="preserve">», ПАО «Аэрофлот – Российские авиалинии», АО «Авиакомпания «Россия», ПАО «Авиакомпания </w:t>
      </w:r>
      <w:proofErr w:type="spellStart"/>
      <w:r w:rsidRPr="00FE57F1">
        <w:rPr>
          <w:rFonts w:eastAsia="Times New Roman"/>
          <w:sz w:val="20"/>
          <w:szCs w:val="20"/>
        </w:rPr>
        <w:t>ЮТэйр</w:t>
      </w:r>
      <w:proofErr w:type="spellEnd"/>
      <w:r w:rsidRPr="00FE57F1">
        <w:rPr>
          <w:rFonts w:eastAsia="Times New Roman"/>
          <w:sz w:val="20"/>
          <w:szCs w:val="20"/>
        </w:rPr>
        <w:t>», ЗАО «Авиакомпания «</w:t>
      </w:r>
      <w:proofErr w:type="spellStart"/>
      <w:r w:rsidRPr="00FE57F1">
        <w:rPr>
          <w:rFonts w:eastAsia="Times New Roman"/>
          <w:sz w:val="20"/>
          <w:szCs w:val="20"/>
        </w:rPr>
        <w:t>Смартавиа</w:t>
      </w:r>
      <w:proofErr w:type="spellEnd"/>
      <w:r w:rsidRPr="00FE57F1">
        <w:rPr>
          <w:rFonts w:eastAsia="Times New Roman"/>
          <w:sz w:val="20"/>
          <w:szCs w:val="20"/>
        </w:rPr>
        <w:t>», ООО «Авиакомпания «Икар», ООО</w:t>
      </w:r>
      <w:r w:rsidRPr="00FE57F1">
        <w:rPr>
          <w:sz w:val="20"/>
          <w:szCs w:val="20"/>
        </w:rPr>
        <w:t> </w:t>
      </w:r>
      <w:r w:rsidRPr="00FE57F1">
        <w:rPr>
          <w:rFonts w:eastAsia="Times New Roman"/>
          <w:sz w:val="20"/>
          <w:szCs w:val="20"/>
        </w:rPr>
        <w:t>«Северный ветер».</w:t>
      </w:r>
      <w:proofErr w:type="gramEnd"/>
    </w:p>
    <w:p w:rsidR="00FE57F1" w:rsidRPr="00FE57F1" w:rsidRDefault="00FE57F1" w:rsidP="00FE57F1">
      <w:pPr>
        <w:tabs>
          <w:tab w:val="left" w:pos="720"/>
        </w:tabs>
        <w:ind w:firstLine="708"/>
        <w:jc w:val="both"/>
        <w:rPr>
          <w:rFonts w:eastAsia="Times New Roman"/>
          <w:sz w:val="20"/>
          <w:szCs w:val="20"/>
        </w:rPr>
      </w:pPr>
      <w:r w:rsidRPr="00FE57F1">
        <w:rPr>
          <w:rFonts w:eastAsia="Times New Roman"/>
          <w:sz w:val="20"/>
          <w:szCs w:val="20"/>
        </w:rPr>
        <w:t>В 2022 году в аэропорту г. Сыктывкара было обслужено 457 386 пассажиров.</w:t>
      </w:r>
    </w:p>
    <w:p w:rsidR="00FE57F1" w:rsidRPr="00FE57F1" w:rsidRDefault="00FE57F1" w:rsidP="00FE57F1">
      <w:pPr>
        <w:ind w:firstLine="567"/>
        <w:jc w:val="both"/>
        <w:rPr>
          <w:color w:val="FF0000"/>
          <w:sz w:val="20"/>
          <w:szCs w:val="20"/>
          <w:highlight w:val="yellow"/>
        </w:rPr>
      </w:pPr>
      <w:r w:rsidRPr="00FE57F1">
        <w:rPr>
          <w:i/>
          <w:sz w:val="20"/>
          <w:szCs w:val="20"/>
        </w:rPr>
        <w:t>Среднемесячная номинальная начисленная заработная плата работников крупных и средних предприятий и некоммерческих организаций</w:t>
      </w:r>
      <w:r w:rsidRPr="00FE57F1">
        <w:rPr>
          <w:sz w:val="20"/>
          <w:szCs w:val="20"/>
        </w:rPr>
        <w:t xml:space="preserve"> в городском округе в 2022 году составила 63 619 руб., прирост по сравнению с 2021 годом составил 9,7%.</w:t>
      </w:r>
      <w:r w:rsidRPr="00FE57F1">
        <w:rPr>
          <w:color w:val="FF0000"/>
          <w:sz w:val="20"/>
          <w:szCs w:val="20"/>
        </w:rPr>
        <w:t xml:space="preserve"> </w:t>
      </w:r>
      <w:r w:rsidRPr="00FE57F1">
        <w:rPr>
          <w:sz w:val="20"/>
          <w:szCs w:val="20"/>
        </w:rPr>
        <w:t xml:space="preserve">Руководителями крупных и средних предприятий города осуществлялась индексация уровня оплаты труда на подведомственных предприятиях. </w:t>
      </w:r>
    </w:p>
    <w:p w:rsidR="00FE57F1" w:rsidRPr="00FE57F1" w:rsidRDefault="00FE57F1" w:rsidP="00FE57F1">
      <w:pPr>
        <w:tabs>
          <w:tab w:val="center" w:pos="7632"/>
        </w:tabs>
        <w:ind w:right="72" w:firstLine="567"/>
        <w:jc w:val="both"/>
        <w:rPr>
          <w:sz w:val="20"/>
          <w:szCs w:val="20"/>
        </w:rPr>
      </w:pPr>
      <w:r w:rsidRPr="00FE57F1">
        <w:rPr>
          <w:sz w:val="20"/>
          <w:szCs w:val="20"/>
        </w:rPr>
        <w:t xml:space="preserve">В 2022 году </w:t>
      </w:r>
      <w:r w:rsidRPr="00FE57F1">
        <w:rPr>
          <w:i/>
          <w:sz w:val="20"/>
          <w:szCs w:val="20"/>
        </w:rPr>
        <w:t>среднемесячная номинальная начисленная заработная плата работников</w:t>
      </w:r>
      <w:r w:rsidRPr="00FE57F1">
        <w:rPr>
          <w:sz w:val="20"/>
          <w:szCs w:val="20"/>
        </w:rPr>
        <w:t>:</w:t>
      </w:r>
    </w:p>
    <w:p w:rsidR="00FE57F1" w:rsidRPr="00FE57F1" w:rsidRDefault="00FE57F1" w:rsidP="00FE57F1">
      <w:pPr>
        <w:tabs>
          <w:tab w:val="center" w:pos="7632"/>
        </w:tabs>
        <w:ind w:right="72" w:firstLine="567"/>
        <w:jc w:val="both"/>
        <w:rPr>
          <w:rFonts w:eastAsia="Times New Roman"/>
          <w:sz w:val="20"/>
          <w:szCs w:val="20"/>
        </w:rPr>
      </w:pPr>
      <w:r w:rsidRPr="00FE57F1">
        <w:rPr>
          <w:sz w:val="20"/>
          <w:szCs w:val="20"/>
        </w:rPr>
        <w:t xml:space="preserve">- муниципальных дошкольных образовательных учреждений – </w:t>
      </w:r>
      <w:r w:rsidRPr="00FE57F1">
        <w:rPr>
          <w:rFonts w:eastAsia="Times New Roman"/>
          <w:sz w:val="20"/>
          <w:szCs w:val="20"/>
        </w:rPr>
        <w:t xml:space="preserve">39 612,0 руб., </w:t>
      </w:r>
    </w:p>
    <w:p w:rsidR="00FE57F1" w:rsidRPr="00FE57F1" w:rsidRDefault="00FE57F1" w:rsidP="00FE57F1">
      <w:pPr>
        <w:tabs>
          <w:tab w:val="center" w:pos="7632"/>
        </w:tabs>
        <w:ind w:right="72" w:firstLine="567"/>
        <w:jc w:val="both"/>
        <w:rPr>
          <w:rFonts w:eastAsia="Times New Roman"/>
          <w:sz w:val="20"/>
          <w:szCs w:val="20"/>
        </w:rPr>
      </w:pPr>
      <w:r w:rsidRPr="00FE57F1">
        <w:rPr>
          <w:rFonts w:eastAsia="Times New Roman"/>
          <w:sz w:val="20"/>
          <w:szCs w:val="20"/>
        </w:rPr>
        <w:t xml:space="preserve">- муниципальных общеобразовательных учреждений – 50 554,0 руб., </w:t>
      </w:r>
    </w:p>
    <w:p w:rsidR="00FE57F1" w:rsidRPr="00FE57F1" w:rsidRDefault="00FE57F1" w:rsidP="00FE57F1">
      <w:pPr>
        <w:tabs>
          <w:tab w:val="center" w:pos="7632"/>
        </w:tabs>
        <w:ind w:right="72" w:firstLine="567"/>
        <w:jc w:val="both"/>
        <w:rPr>
          <w:bCs/>
          <w:sz w:val="20"/>
          <w:szCs w:val="20"/>
        </w:rPr>
      </w:pPr>
      <w:r w:rsidRPr="00FE57F1">
        <w:rPr>
          <w:rFonts w:eastAsia="Times New Roman"/>
          <w:sz w:val="20"/>
          <w:szCs w:val="20"/>
        </w:rPr>
        <w:t>- учителей</w:t>
      </w:r>
      <w:r w:rsidRPr="00FE57F1">
        <w:rPr>
          <w:bCs/>
          <w:sz w:val="20"/>
          <w:szCs w:val="20"/>
        </w:rPr>
        <w:t xml:space="preserve"> общего образования составила -  58 212,76 руб., </w:t>
      </w:r>
    </w:p>
    <w:p w:rsidR="00FE57F1" w:rsidRPr="00FE57F1" w:rsidRDefault="00FE57F1" w:rsidP="00FE57F1">
      <w:pPr>
        <w:tabs>
          <w:tab w:val="center" w:pos="7632"/>
        </w:tabs>
        <w:ind w:right="72" w:firstLine="567"/>
        <w:jc w:val="both"/>
        <w:rPr>
          <w:sz w:val="20"/>
          <w:szCs w:val="20"/>
        </w:rPr>
      </w:pPr>
      <w:r w:rsidRPr="00FE57F1">
        <w:rPr>
          <w:bCs/>
          <w:sz w:val="20"/>
          <w:szCs w:val="20"/>
        </w:rPr>
        <w:t xml:space="preserve">- </w:t>
      </w:r>
      <w:r w:rsidRPr="00FE57F1">
        <w:rPr>
          <w:sz w:val="20"/>
          <w:szCs w:val="20"/>
        </w:rPr>
        <w:t>муниципальных учреждений культуры и искусства – 57 650,0 руб.,</w:t>
      </w:r>
      <w:r w:rsidRPr="00FE57F1">
        <w:rPr>
          <w:rFonts w:eastAsia="Times New Roman"/>
          <w:sz w:val="20"/>
          <w:szCs w:val="20"/>
        </w:rPr>
        <w:t xml:space="preserve"> </w:t>
      </w:r>
    </w:p>
    <w:p w:rsidR="00FE57F1" w:rsidRPr="00FE57F1" w:rsidRDefault="00FE57F1" w:rsidP="00FE57F1">
      <w:pPr>
        <w:tabs>
          <w:tab w:val="center" w:pos="7632"/>
        </w:tabs>
        <w:ind w:right="72" w:firstLine="567"/>
        <w:jc w:val="both"/>
        <w:rPr>
          <w:rFonts w:eastAsia="Times New Roman"/>
          <w:sz w:val="20"/>
          <w:szCs w:val="20"/>
        </w:rPr>
      </w:pPr>
      <w:r w:rsidRPr="00FE57F1">
        <w:rPr>
          <w:sz w:val="20"/>
          <w:szCs w:val="20"/>
        </w:rPr>
        <w:t>- муниципальных учреждений физической культуры и спорта – 47 381,0</w:t>
      </w:r>
      <w:r w:rsidRPr="00FE57F1">
        <w:rPr>
          <w:rFonts w:eastAsia="Times New Roman"/>
          <w:sz w:val="20"/>
          <w:szCs w:val="20"/>
        </w:rPr>
        <w:t xml:space="preserve"> руб. </w:t>
      </w:r>
    </w:p>
    <w:p w:rsidR="00FE57F1" w:rsidRPr="00FE57F1" w:rsidRDefault="00FE57F1" w:rsidP="00FE57F1">
      <w:pPr>
        <w:tabs>
          <w:tab w:val="center" w:pos="7632"/>
        </w:tabs>
        <w:ind w:right="72" w:firstLine="567"/>
        <w:jc w:val="both"/>
        <w:rPr>
          <w:b/>
          <w:sz w:val="20"/>
          <w:szCs w:val="20"/>
        </w:rPr>
      </w:pPr>
      <w:r w:rsidRPr="00FE57F1">
        <w:rPr>
          <w:bCs/>
          <w:sz w:val="20"/>
          <w:szCs w:val="20"/>
        </w:rPr>
        <w:t>Значения соответствуют показателям, установленным Протоколом совещания рабочей группы по рассмотрению сроков и темпов повышения уровня оплаты труда в рамках исполнения «майских» указов Президента РФ. Значение показателя по муниципальным учреждениям культуры и искусства отражено на основании статистических данных, представленных Территориальным органом Федеральной службы государственной статистики по Республике Коми.</w:t>
      </w:r>
    </w:p>
    <w:p w:rsidR="00D65C60" w:rsidRPr="00CD4ABF" w:rsidRDefault="00D65C60" w:rsidP="00D65C60">
      <w:pPr>
        <w:tabs>
          <w:tab w:val="center" w:pos="7632"/>
        </w:tabs>
        <w:ind w:right="72" w:firstLine="567"/>
        <w:jc w:val="both"/>
        <w:rPr>
          <w:b/>
          <w:color w:val="FF0000"/>
          <w:sz w:val="20"/>
          <w:szCs w:val="20"/>
        </w:rPr>
      </w:pPr>
    </w:p>
    <w:p w:rsidR="00CB240A" w:rsidRPr="00CD4ABF" w:rsidRDefault="00CB240A" w:rsidP="00CB240A">
      <w:pPr>
        <w:tabs>
          <w:tab w:val="center" w:pos="7632"/>
        </w:tabs>
        <w:ind w:right="72" w:firstLine="567"/>
        <w:jc w:val="both"/>
        <w:rPr>
          <w:b/>
          <w:color w:val="FF0000"/>
          <w:sz w:val="20"/>
          <w:szCs w:val="20"/>
          <w:highlight w:val="yellow"/>
        </w:rPr>
      </w:pPr>
    </w:p>
    <w:p w:rsidR="000C6017" w:rsidRPr="00FE57F1" w:rsidRDefault="000C6017" w:rsidP="000C6017">
      <w:pPr>
        <w:jc w:val="center"/>
        <w:outlineLvl w:val="0"/>
        <w:rPr>
          <w:sz w:val="20"/>
          <w:szCs w:val="20"/>
        </w:rPr>
      </w:pPr>
      <w:r w:rsidRPr="00FE57F1">
        <w:rPr>
          <w:b/>
          <w:sz w:val="20"/>
          <w:szCs w:val="20"/>
        </w:rPr>
        <w:t xml:space="preserve">2. Дошкольное образование </w:t>
      </w:r>
    </w:p>
    <w:p w:rsidR="000C6017" w:rsidRPr="00FE57F1" w:rsidRDefault="000C6017" w:rsidP="000C6017">
      <w:pPr>
        <w:jc w:val="center"/>
        <w:rPr>
          <w:sz w:val="20"/>
          <w:szCs w:val="20"/>
          <w:highlight w:val="yellow"/>
        </w:rPr>
      </w:pPr>
    </w:p>
    <w:p w:rsidR="00FE57F1" w:rsidRPr="00FE57F1" w:rsidRDefault="00FE57F1" w:rsidP="00FE57F1">
      <w:pPr>
        <w:ind w:firstLine="709"/>
        <w:jc w:val="both"/>
        <w:rPr>
          <w:sz w:val="20"/>
          <w:szCs w:val="20"/>
        </w:rPr>
      </w:pPr>
      <w:r w:rsidRPr="00FE57F1">
        <w:rPr>
          <w:sz w:val="20"/>
          <w:szCs w:val="20"/>
        </w:rPr>
        <w:t xml:space="preserve">В 2022 году система дошкольного образования МО ГО «Сыктывкар» включает 59 образовательных организаций (58 дошкольных образовательных организаций и 1 Прогимназия), в которых функционирует 740 групп. По состоянию на 31.12.2022 г. дошкольные образовательные организации (далее – ДОО) посещало 17 410 воспитанников. По сравнению с данными за 2021 год наблюдается снижение на 1 224 человек общего количества воспитанников. </w:t>
      </w:r>
    </w:p>
    <w:p w:rsidR="00FE57F1" w:rsidRPr="00FE57F1" w:rsidRDefault="00FE57F1" w:rsidP="00FE57F1">
      <w:pPr>
        <w:ind w:firstLine="567"/>
        <w:jc w:val="both"/>
        <w:rPr>
          <w:sz w:val="20"/>
          <w:szCs w:val="20"/>
        </w:rPr>
      </w:pPr>
      <w:r w:rsidRPr="00FE57F1">
        <w:rPr>
          <w:i/>
          <w:sz w:val="20"/>
          <w:szCs w:val="20"/>
        </w:rPr>
        <w:t xml:space="preserve"> </w:t>
      </w:r>
      <w:proofErr w:type="gramStart"/>
      <w:r w:rsidRPr="00FE57F1">
        <w:rPr>
          <w:i/>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Pr="00FE57F1">
        <w:rPr>
          <w:sz w:val="20"/>
          <w:szCs w:val="20"/>
        </w:rPr>
        <w:t xml:space="preserve"> за 2022 год составила 92,96%. Снижение показателя произошло в связи с тем, что направление детей в дошкольные образовательные организации осуществляется на основании личного заявления родителей, в </w:t>
      </w:r>
      <w:r w:rsidRPr="00FE57F1">
        <w:rPr>
          <w:sz w:val="20"/>
          <w:szCs w:val="20"/>
        </w:rPr>
        <w:lastRenderedPageBreak/>
        <w:t>котором родители (законные представители</w:t>
      </w:r>
      <w:proofErr w:type="gramEnd"/>
      <w:r w:rsidRPr="00FE57F1">
        <w:rPr>
          <w:sz w:val="20"/>
          <w:szCs w:val="20"/>
        </w:rPr>
        <w:t xml:space="preserve">) указывают желаемую дату направления детей в ДОО. Как правило, родители (законные представители) детей желают направить детей только с 1,5 лет. </w:t>
      </w:r>
    </w:p>
    <w:p w:rsidR="00FE57F1" w:rsidRPr="00FE57F1" w:rsidRDefault="00FE57F1" w:rsidP="00FE57F1">
      <w:pPr>
        <w:ind w:firstLine="709"/>
        <w:jc w:val="both"/>
        <w:rPr>
          <w:sz w:val="20"/>
          <w:szCs w:val="20"/>
        </w:rPr>
      </w:pPr>
      <w:r w:rsidRPr="00FE57F1">
        <w:rPr>
          <w:sz w:val="20"/>
          <w:szCs w:val="20"/>
        </w:rPr>
        <w:t xml:space="preserve">В рамках реализации национального проекта «Демография» в 2022 году обеспечена 100% доступность дошкольного образования для детей в возрасте от 2 месяцев до 3 лет, что на 0,2% больше, чем в 2021 году. </w:t>
      </w:r>
    </w:p>
    <w:p w:rsidR="00FE57F1" w:rsidRPr="00FE57F1" w:rsidRDefault="00FE57F1" w:rsidP="00FE57F1">
      <w:pPr>
        <w:ind w:firstLine="709"/>
        <w:jc w:val="both"/>
        <w:rPr>
          <w:sz w:val="20"/>
          <w:szCs w:val="20"/>
        </w:rPr>
      </w:pPr>
      <w:r w:rsidRPr="00FE57F1">
        <w:rPr>
          <w:sz w:val="20"/>
          <w:szCs w:val="20"/>
        </w:rPr>
        <w:t xml:space="preserve">В дошкольных образовательных организациях города созданы условия для получения детьми с ограниченными возможностями здоровья и детьми-инвалидами дошкольного образования. Всего детские сады города посещают 1 068 детей с инвалидностью и с ограниченными возможностями здоровья, из них 795 ребенка посещают дошкольные образовательные организации компенсирующей направленности. </w:t>
      </w:r>
    </w:p>
    <w:p w:rsidR="00FE57F1" w:rsidRPr="00FE57F1" w:rsidRDefault="00FE57F1" w:rsidP="00FE57F1">
      <w:pPr>
        <w:ind w:firstLine="567"/>
        <w:jc w:val="both"/>
        <w:rPr>
          <w:sz w:val="20"/>
          <w:szCs w:val="20"/>
        </w:rPr>
      </w:pPr>
      <w:r w:rsidRPr="00FE57F1">
        <w:rPr>
          <w:sz w:val="20"/>
          <w:szCs w:val="20"/>
        </w:rPr>
        <w:t xml:space="preserve"> «</w:t>
      </w:r>
      <w:r w:rsidRPr="00FE57F1">
        <w:rPr>
          <w:i/>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rsidRPr="00FE57F1">
        <w:rPr>
          <w:sz w:val="20"/>
          <w:szCs w:val="20"/>
        </w:rPr>
        <w:t>» составила 4,51%, что на 1,75 п.п. ниже уровня 2021 года.</w:t>
      </w:r>
    </w:p>
    <w:p w:rsidR="00FE57F1" w:rsidRPr="00FE57F1" w:rsidRDefault="00FE57F1" w:rsidP="00FE57F1">
      <w:pPr>
        <w:ind w:firstLine="709"/>
        <w:jc w:val="both"/>
        <w:rPr>
          <w:sz w:val="20"/>
          <w:szCs w:val="20"/>
        </w:rPr>
      </w:pPr>
      <w:r w:rsidRPr="00FE57F1">
        <w:rPr>
          <w:sz w:val="20"/>
          <w:szCs w:val="20"/>
        </w:rPr>
        <w:t xml:space="preserve">В решении задач по обеспечению доступности дошкольного образования активное участие принимают и частные дошкольные образовательные организации. По состоянию на 31.12.2022 г. количество детей, получающих услугу дошкольного образования в организациях негосударственного сектора, составляет 166 детей, в том числе 150 детей посещают организации негосударственного сектора за фиксированную для родителей (законных представителей) детей плату, не превышающую максимальный размер родительской платы в муниципальных дошкольных образовательных организациях. </w:t>
      </w:r>
    </w:p>
    <w:p w:rsidR="00FE57F1" w:rsidRPr="00FE57F1" w:rsidRDefault="00FE57F1" w:rsidP="00FE57F1">
      <w:pPr>
        <w:ind w:firstLine="709"/>
        <w:jc w:val="both"/>
        <w:rPr>
          <w:sz w:val="20"/>
          <w:szCs w:val="20"/>
        </w:rPr>
      </w:pPr>
      <w:r w:rsidRPr="00FE57F1">
        <w:rPr>
          <w:sz w:val="20"/>
          <w:szCs w:val="20"/>
        </w:rPr>
        <w:t xml:space="preserve">По данным информационной системы учета очередности по состоянию на 31.12.2022 г. зарегистрировано 2 107 детей в возрасте от 0 до 7 лет. Для обеспечения прозрачности продвижения очереди в муниципальные ДОО, снятия социальной напряженности, информирования населения о количестве свободных мест в 2014 году введена в эксплуатацию автоматизированная система «Электронное образование» с модулем «Е-услуги» для приема заявлений. Данной услугой в электронном виде в 2022 году воспользовалось 2 158 заявителей (38%), услугой через отделения МФЦ – 497 заявителей (9%) (в 2021 году – 32% и 12% соответственно). </w:t>
      </w:r>
    </w:p>
    <w:p w:rsidR="00FE57F1" w:rsidRPr="00FE57F1" w:rsidRDefault="00FE57F1" w:rsidP="00FE57F1">
      <w:pPr>
        <w:ind w:firstLine="709"/>
        <w:jc w:val="both"/>
        <w:rPr>
          <w:sz w:val="20"/>
          <w:szCs w:val="20"/>
        </w:rPr>
      </w:pPr>
      <w:r w:rsidRPr="00FE57F1">
        <w:rPr>
          <w:sz w:val="20"/>
          <w:szCs w:val="20"/>
        </w:rPr>
        <w:t xml:space="preserve"> «</w:t>
      </w:r>
      <w:r w:rsidRPr="00FE57F1">
        <w:rPr>
          <w:i/>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Pr="00FE57F1">
        <w:rPr>
          <w:sz w:val="20"/>
          <w:szCs w:val="20"/>
        </w:rPr>
        <w:t>» составила, как и ранее, 0%.</w:t>
      </w:r>
    </w:p>
    <w:p w:rsidR="00FE57F1" w:rsidRPr="00FE57F1" w:rsidRDefault="00FE57F1" w:rsidP="00FE57F1">
      <w:pPr>
        <w:ind w:firstLine="709"/>
        <w:jc w:val="both"/>
        <w:rPr>
          <w:sz w:val="20"/>
          <w:szCs w:val="20"/>
        </w:rPr>
      </w:pPr>
      <w:r w:rsidRPr="00FE57F1">
        <w:rPr>
          <w:sz w:val="20"/>
          <w:szCs w:val="20"/>
        </w:rPr>
        <w:t>Параллельно с обновлением содержания образования в детских садах продолжаются работы по созданию современной инфраструктуры.</w:t>
      </w:r>
    </w:p>
    <w:p w:rsidR="00FE57F1" w:rsidRPr="00FE57F1" w:rsidRDefault="00FE57F1" w:rsidP="00FE57F1">
      <w:pPr>
        <w:ind w:firstLine="709"/>
        <w:jc w:val="both"/>
        <w:rPr>
          <w:sz w:val="20"/>
          <w:szCs w:val="20"/>
        </w:rPr>
      </w:pPr>
      <w:proofErr w:type="gramStart"/>
      <w:r w:rsidRPr="00FE57F1">
        <w:rPr>
          <w:sz w:val="20"/>
          <w:szCs w:val="20"/>
        </w:rPr>
        <w:t>В 2022 году выполнены плановые текущие ремонты зданий, сооружений и прилегающих к ним территорий ДОО, в том числе осуществлен ремонт кровель (6 ДОО), ремонт входных групп (2 ДОО), ремонт полов в групповых помещениях (2 ДОО), ремонт пищеблока (4 ДОО), ремонт асфальтового покрытия (2 ДОО), ремонт и замена окон (7 ДОО), реализованы планы по повышению противопожарной безопасности, в том числе произведены</w:t>
      </w:r>
      <w:proofErr w:type="gramEnd"/>
      <w:r w:rsidRPr="00FE57F1">
        <w:rPr>
          <w:sz w:val="20"/>
          <w:szCs w:val="20"/>
        </w:rPr>
        <w:t xml:space="preserve"> ремонты систем пожарной сигнализации и оповещения о пожаре, дооснащение системы пожарной безопасности дополнительными </w:t>
      </w:r>
      <w:proofErr w:type="spellStart"/>
      <w:r w:rsidRPr="00FE57F1">
        <w:rPr>
          <w:sz w:val="20"/>
          <w:szCs w:val="20"/>
        </w:rPr>
        <w:t>извещателями</w:t>
      </w:r>
      <w:proofErr w:type="spellEnd"/>
      <w:r w:rsidRPr="00FE57F1">
        <w:rPr>
          <w:sz w:val="20"/>
          <w:szCs w:val="20"/>
        </w:rPr>
        <w:t>, отделка путей эвакуации негорючими материалами,  устройство вторых эвакуационных выходов, оснащение первичными средствами пожаротушения (в 17 ДОО); выполнены мероприятия по укреплению антитеррористической защищенности, в том числе дооснащение объектов дошкольного образования системой видеонаблюдения в 5 ДОО. Постоянно проводятся работы по созданию условий для маломобильных групп населения. На 31.12.2022 г. в 19 ДОО обустроены доступные входные группы и пандусы.</w:t>
      </w:r>
    </w:p>
    <w:p w:rsidR="00FE57F1" w:rsidRPr="00FE57F1" w:rsidRDefault="00FE57F1" w:rsidP="00FE57F1">
      <w:pPr>
        <w:ind w:firstLine="709"/>
        <w:jc w:val="both"/>
        <w:rPr>
          <w:sz w:val="20"/>
          <w:szCs w:val="20"/>
        </w:rPr>
      </w:pPr>
      <w:r w:rsidRPr="00FE57F1">
        <w:rPr>
          <w:sz w:val="20"/>
          <w:szCs w:val="20"/>
        </w:rPr>
        <w:t xml:space="preserve">Неотъемлемой частью современной инфраструктуры любой образовательной организации становится развивающая предметно-пространственная среда помещений и территорий ДОО. В детских садах оборудованы тематические центры и площадки, кабинеты для занятий с детьми. На территориях размещаются тематические клумбы, </w:t>
      </w:r>
      <w:proofErr w:type="spellStart"/>
      <w:r w:rsidRPr="00FE57F1">
        <w:rPr>
          <w:sz w:val="20"/>
          <w:szCs w:val="20"/>
        </w:rPr>
        <w:t>автогородки</w:t>
      </w:r>
      <w:proofErr w:type="spellEnd"/>
      <w:r w:rsidRPr="00FE57F1">
        <w:rPr>
          <w:sz w:val="20"/>
          <w:szCs w:val="20"/>
        </w:rPr>
        <w:t xml:space="preserve">, метеостанции, современные спортивные площадки, игровые и тематические уголки, фотозоны. Появилась возможность совершенствования территорий за счет участия в проекте «Народный бюджет». В 2022 году в нем приняли участие дошкольные образовательные организации № 19, 43 и 92, на территориях появились детские спортивные площадки, а в детском саду № 21 обновлены малые архитектурные формы на игровых прогулочных площадках. </w:t>
      </w:r>
    </w:p>
    <w:p w:rsidR="00D65C60" w:rsidRPr="00FE57F1" w:rsidRDefault="00D65C60" w:rsidP="000C6017">
      <w:pPr>
        <w:jc w:val="center"/>
        <w:outlineLvl w:val="0"/>
        <w:rPr>
          <w:b/>
          <w:color w:val="FF0000"/>
          <w:sz w:val="20"/>
          <w:szCs w:val="20"/>
        </w:rPr>
      </w:pPr>
    </w:p>
    <w:p w:rsidR="000C6017" w:rsidRPr="00FE57F1" w:rsidRDefault="000C6017" w:rsidP="000C6017">
      <w:pPr>
        <w:jc w:val="center"/>
        <w:outlineLvl w:val="0"/>
        <w:rPr>
          <w:b/>
          <w:sz w:val="20"/>
          <w:szCs w:val="20"/>
        </w:rPr>
      </w:pPr>
      <w:r w:rsidRPr="00FE57F1">
        <w:rPr>
          <w:b/>
          <w:sz w:val="20"/>
          <w:szCs w:val="20"/>
        </w:rPr>
        <w:t>3. Общее и дополнительное образование</w:t>
      </w:r>
    </w:p>
    <w:p w:rsidR="000C6017" w:rsidRPr="00FE57F1" w:rsidRDefault="000C6017" w:rsidP="000C6017">
      <w:pPr>
        <w:jc w:val="center"/>
        <w:rPr>
          <w:b/>
          <w:color w:val="FF0000"/>
          <w:sz w:val="20"/>
          <w:szCs w:val="20"/>
          <w:highlight w:val="yellow"/>
        </w:rPr>
      </w:pPr>
    </w:p>
    <w:p w:rsidR="00FE57F1" w:rsidRPr="00FE57F1" w:rsidRDefault="00FE57F1" w:rsidP="00FE57F1">
      <w:pPr>
        <w:tabs>
          <w:tab w:val="left" w:pos="284"/>
        </w:tabs>
        <w:ind w:firstLine="709"/>
        <w:jc w:val="both"/>
        <w:rPr>
          <w:sz w:val="20"/>
          <w:szCs w:val="20"/>
        </w:rPr>
      </w:pPr>
      <w:r w:rsidRPr="00FE57F1">
        <w:rPr>
          <w:sz w:val="20"/>
          <w:szCs w:val="20"/>
        </w:rPr>
        <w:t>Показатель «</w:t>
      </w:r>
      <w:r w:rsidRPr="00FE57F1">
        <w:rPr>
          <w:i/>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FE57F1">
        <w:rPr>
          <w:sz w:val="20"/>
          <w:szCs w:val="20"/>
        </w:rPr>
        <w:t>» имеет отрицательную динамику в 2022 году по сравнению с 2021 годом. Значение показателя в 2022 году составило 0,73% (годом ранее – 0,58 %).</w:t>
      </w:r>
    </w:p>
    <w:p w:rsidR="00FE57F1" w:rsidRPr="00FE57F1" w:rsidRDefault="00FE57F1" w:rsidP="00FE57F1">
      <w:pPr>
        <w:ind w:firstLine="709"/>
        <w:jc w:val="both"/>
        <w:rPr>
          <w:rFonts w:eastAsia="Times New Roman"/>
          <w:sz w:val="20"/>
          <w:szCs w:val="20"/>
        </w:rPr>
      </w:pPr>
      <w:proofErr w:type="gramStart"/>
      <w:r w:rsidRPr="00FE57F1">
        <w:rPr>
          <w:rFonts w:eastAsia="Times New Roman"/>
          <w:sz w:val="20"/>
          <w:szCs w:val="20"/>
        </w:rPr>
        <w:t>Увеличение доли выпускников 11-х классов муниципальных общеобразовательных организаций, не получивших аттестат о среднем общем образовании в 2022 году, по сравнению с 2021 произошло по причине того, что в 2021 году для получения аттестата о среднем общем образовании выпускники должны были пройти государственную итоговую аттестацию в форме  государственного выпускного экзамена по русскому языку и математике или в форме единого государственного экзамена</w:t>
      </w:r>
      <w:proofErr w:type="gramEnd"/>
      <w:r w:rsidRPr="00FE57F1">
        <w:rPr>
          <w:rFonts w:eastAsia="Times New Roman"/>
          <w:sz w:val="20"/>
          <w:szCs w:val="20"/>
        </w:rPr>
        <w:t xml:space="preserve"> по русскому языку, а в 2022 году государственная итоговая аттестация проходила в штатном режиме.  В 2022 году 2 учащихся 11-х классов  муниципальных общеобразовательных организаций не смогли принять участие в государственной итоговой аттестации по уважительной причине.</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К ГИА-11 в 2021-2022 учебном году допущено 99,92 % учащихся 11 классов (1227 учащихся). </w:t>
      </w:r>
      <w:proofErr w:type="gramStart"/>
      <w:r w:rsidRPr="00FE57F1">
        <w:rPr>
          <w:rFonts w:eastAsia="Times New Roman"/>
          <w:sz w:val="20"/>
          <w:szCs w:val="20"/>
        </w:rPr>
        <w:t>Из 1227 учащихся осваивали образовательные программы среднего общего образования в очной форме – 1195 учащихся, в очно-заочной – 21, в заочной - 7, в форме семейного образования – 4.</w:t>
      </w:r>
      <w:proofErr w:type="gramEnd"/>
    </w:p>
    <w:p w:rsidR="00FE57F1" w:rsidRPr="00FE57F1" w:rsidRDefault="00FE57F1" w:rsidP="00FE57F1">
      <w:pPr>
        <w:ind w:firstLine="709"/>
        <w:jc w:val="both"/>
        <w:rPr>
          <w:rFonts w:eastAsia="Times New Roman"/>
          <w:sz w:val="20"/>
          <w:szCs w:val="20"/>
        </w:rPr>
      </w:pPr>
      <w:r w:rsidRPr="00FE57F1">
        <w:rPr>
          <w:rFonts w:eastAsia="Times New Roman"/>
          <w:sz w:val="20"/>
          <w:szCs w:val="20"/>
        </w:rPr>
        <w:lastRenderedPageBreak/>
        <w:t>По результатам ГИА-11 1218 выпускников 11-х классов, или  99,27 % от общего количества, получили аттестат о среднем общем образовании (2 учащихся не смогли принять участие в государственной итоговой аттестации по уважительной причине), из них 93 выпускников получили аттестат о среднем общем образовании с отличием.</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0,73% от общего количества выпускников 11-х классов, или 9 чел., не получили аттестат о среднем общем образовании, в том числе: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- 1 чел. получал образование вне образовательной организации, обучаясь в форме семейного образования,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- 6 чел. являлись совершеннолетними, из них 1 чел. обучался по очно-заочной форме,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- 2 чел. - не смогли принять участие по уважительной причине.</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Вместе с тем результаты ЕГЭ в 2022 году свидетельствуют о высоком качестве образования в МО ГО «Сыктывкар»:</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- 7 выпускников по результатам ЕГЭ набрали 100 баллов по 5 учебным предметам;</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количество выпускников, набравших от 81 до 99 баллов по результатам ЕГЭ, составило 265 человек (21,6 % от общего числа выпускников, принимавших участие в ЕГЭ);</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- 12 учащихся с особыми образовательными потребностями завершили обучение на уровне среднего общего образования и получили аттестат о среднем общем образовании, что составляет 100%.</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Количество выпускников, награжденных медалями «За особые успехи в учении», в 2022 году составило 153 человека.</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В 2022 году выпускники 11-х классов сдавали экзамены по новым перспективным моделям КИМ ЕГЭ на основе ФГОС среднего общего образования.</w:t>
      </w:r>
    </w:p>
    <w:p w:rsidR="00FE57F1" w:rsidRPr="00FE57F1" w:rsidRDefault="00FE57F1" w:rsidP="00FE57F1">
      <w:pPr>
        <w:ind w:firstLine="709"/>
        <w:jc w:val="both"/>
        <w:rPr>
          <w:rFonts w:eastAsia="Times New Roman"/>
          <w:sz w:val="20"/>
          <w:szCs w:val="20"/>
        </w:rPr>
      </w:pPr>
      <w:proofErr w:type="gramStart"/>
      <w:r w:rsidRPr="00FE57F1">
        <w:rPr>
          <w:rFonts w:eastAsia="Times New Roman"/>
          <w:sz w:val="20"/>
          <w:szCs w:val="20"/>
        </w:rPr>
        <w:t>С целью улучшения данного показателя в 2022 году и организации системной работы по повышению качества образования управлением образования администрации МО ГО «Сыктывкар» разработана и реализуется Дорожная карта по организации и проведению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организациях МО ГО «Сыктывкар» в 2022-2023 учебном году, утвержденная приказом Управления образования администрации МО</w:t>
      </w:r>
      <w:proofErr w:type="gramEnd"/>
      <w:r w:rsidRPr="00FE57F1">
        <w:rPr>
          <w:rFonts w:eastAsia="Times New Roman"/>
          <w:sz w:val="20"/>
          <w:szCs w:val="20"/>
        </w:rPr>
        <w:t xml:space="preserve"> ГО "Сыктывкар" от 16.09.2022 № 803.</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Показатель «</w:t>
      </w:r>
      <w:r w:rsidRPr="00FE57F1">
        <w:rPr>
          <w:rFonts w:eastAsia="Times New Roman"/>
          <w:i/>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FE57F1">
        <w:rPr>
          <w:rFonts w:eastAsia="Times New Roman"/>
          <w:sz w:val="20"/>
          <w:szCs w:val="20"/>
        </w:rPr>
        <w:t xml:space="preserve">» в 2022 году составил 89,31%.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В муниципальных общеобразовательных организациях проводится систематическая целенаправленная работа по материально-техническому  оснащению  образовательного процесса   и созданию  необходимых условий, </w:t>
      </w:r>
      <w:proofErr w:type="gramStart"/>
      <w:r w:rsidRPr="00FE57F1">
        <w:rPr>
          <w:rFonts w:eastAsia="Times New Roman"/>
          <w:sz w:val="20"/>
          <w:szCs w:val="20"/>
        </w:rPr>
        <w:t>связанных</w:t>
      </w:r>
      <w:proofErr w:type="gramEnd"/>
      <w:r w:rsidRPr="00FE57F1">
        <w:rPr>
          <w:rFonts w:eastAsia="Times New Roman"/>
          <w:sz w:val="20"/>
          <w:szCs w:val="20"/>
        </w:rPr>
        <w:t xml:space="preserve"> прежде всего с оснащением образовательного процесса. В муниципальных общеобразовательных организациях создана цифровая образовательная среда в рамках реализации регионального проекта «Цифровая образовательная среда», позволяющая обеспечить реализацию образовательных программ с применением дистанционных образовательных технологий и электронного обучения.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В  соответствии с утвержденными локальными нормативными актами муниципальных общеобразовательных организаций в период карантинных мероприятий, актированных дней образовательные программы реализуются с применением дистанционных образовательных технологий и электронного обучения.</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Благодаря тому, что совместными усилиями администрации города, управления образования  администрации МО ГО «Сыктывкар» 9 школ города вошли в Федеральную Программу  проведения капитального ремонта и оснащения зданий общеобразовательных организаций субъектов Российской Федерации и муниципальных общеобразовательных организаций на 2024-2025 гг., этот показатель в дальнейшем будет расти.</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Показатель «</w:t>
      </w:r>
      <w:r w:rsidRPr="00FE57F1">
        <w:rPr>
          <w:rFonts w:eastAsia="Times New Roman"/>
          <w:i/>
          <w:sz w:val="20"/>
          <w:szCs w:val="20"/>
        </w:rPr>
        <w:t xml:space="preserve">Доля детей первой и второй групп здоровья в общей </w:t>
      </w:r>
      <w:proofErr w:type="gramStart"/>
      <w:r w:rsidRPr="00FE57F1">
        <w:rPr>
          <w:rFonts w:eastAsia="Times New Roman"/>
          <w:i/>
          <w:sz w:val="20"/>
          <w:szCs w:val="20"/>
        </w:rPr>
        <w:t>численности</w:t>
      </w:r>
      <w:proofErr w:type="gramEnd"/>
      <w:r w:rsidRPr="00FE57F1">
        <w:rPr>
          <w:rFonts w:eastAsia="Times New Roman"/>
          <w:i/>
          <w:sz w:val="20"/>
          <w:szCs w:val="20"/>
        </w:rPr>
        <w:t xml:space="preserve"> обучающихся в муниципальных общеобразовательных учреждениях»</w:t>
      </w:r>
      <w:r w:rsidRPr="00FE57F1">
        <w:rPr>
          <w:rFonts w:eastAsia="Times New Roman"/>
          <w:sz w:val="20"/>
          <w:szCs w:val="20"/>
        </w:rPr>
        <w:t xml:space="preserve"> сложился на уровне 88,2%. Расчет показателя основан на данных медицинских учреждений на основании данных медицинских осмотров несовершеннолетних, включая детей дошкольного и школьного возраста, обучающихся как в муниципальных, так и в государственных образовательных организациях (в том числе специальных – коррекционных).</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В 2022 году доля детей первой и второй групп здоровья от общей численности обучающихся муниципальных общеобразовательных  организаций, подведомственных управлению образования администрации МО ГО «Сыктывкар»  составляет 91%, данный показатель сопоставим в 2021 годом.</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В отчетном учебном году </w:t>
      </w:r>
      <w:r w:rsidRPr="00FE57F1">
        <w:rPr>
          <w:rFonts w:eastAsia="Times New Roman"/>
          <w:i/>
          <w:sz w:val="20"/>
          <w:szCs w:val="20"/>
        </w:rPr>
        <w:t xml:space="preserve">доля </w:t>
      </w:r>
      <w:proofErr w:type="gramStart"/>
      <w:r w:rsidRPr="00FE57F1">
        <w:rPr>
          <w:rFonts w:eastAsia="Times New Roman"/>
          <w:i/>
          <w:sz w:val="20"/>
          <w:szCs w:val="20"/>
        </w:rPr>
        <w:t>обучающихся</w:t>
      </w:r>
      <w:proofErr w:type="gramEnd"/>
      <w:r w:rsidRPr="00FE57F1">
        <w:rPr>
          <w:rFonts w:eastAsia="Times New Roman"/>
          <w:i/>
          <w:sz w:val="20"/>
          <w:szCs w:val="20"/>
        </w:rPr>
        <w:t xml:space="preserve"> во вторую смену</w:t>
      </w:r>
      <w:r w:rsidRPr="00FE57F1">
        <w:rPr>
          <w:rFonts w:eastAsia="Times New Roman"/>
          <w:sz w:val="20"/>
          <w:szCs w:val="20"/>
        </w:rPr>
        <w:t xml:space="preserve"> в МОО составила 25,66%.</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По итогам 2022 года остается актуальной проблема обучения в школах города в две смены. Доля обучающихся в муниципальных общеобразовательных организациях, занимающихся во вторую смену, в общей </w:t>
      </w:r>
      <w:proofErr w:type="gramStart"/>
      <w:r w:rsidRPr="00FE57F1">
        <w:rPr>
          <w:rFonts w:eastAsia="Times New Roman"/>
          <w:sz w:val="20"/>
          <w:szCs w:val="20"/>
        </w:rPr>
        <w:t>численности</w:t>
      </w:r>
      <w:proofErr w:type="gramEnd"/>
      <w:r w:rsidRPr="00FE57F1">
        <w:rPr>
          <w:rFonts w:eastAsia="Times New Roman"/>
          <w:sz w:val="20"/>
          <w:szCs w:val="20"/>
        </w:rPr>
        <w:t xml:space="preserve"> обучающихся в муниципальных общеобразовательных организациях составила 25,66%, что на уровне прошлого года.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Ежегодно контингент учащихся в муниципальных общеобразовательных организациях увеличивается в среднем на 709 учащихся. Основным фактором, влияющим на рост контингента обучающихся, является демографическая ситуация, миграционные процессы, прежде всего переселения в МО ГО "Сыктывкар" жителей из северных городов, районных и сельских поселений Республики Коми.</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Путем решения проблемы сменности в МО ГО "Сыктывкар" является строительство новых объектов образования в соответствии со  Стратегической  картой  развития (строительства) инфраструктуры сферы образования в Республике Коми на период до 2027 года (утверждена заместителем Председателя Правительства Республики Коми Л.Ю. </w:t>
      </w:r>
      <w:proofErr w:type="spellStart"/>
      <w:r w:rsidRPr="00FE57F1">
        <w:rPr>
          <w:rFonts w:eastAsia="Times New Roman"/>
          <w:sz w:val="20"/>
          <w:szCs w:val="20"/>
        </w:rPr>
        <w:t>Карачевой</w:t>
      </w:r>
      <w:proofErr w:type="spellEnd"/>
      <w:r w:rsidRPr="00FE57F1">
        <w:rPr>
          <w:rFonts w:eastAsia="Times New Roman"/>
          <w:sz w:val="20"/>
          <w:szCs w:val="20"/>
        </w:rPr>
        <w:t xml:space="preserve"> 04.04.2022) с учётом разработки проектно-сметной документации.           </w:t>
      </w:r>
    </w:p>
    <w:p w:rsidR="00FE57F1" w:rsidRPr="00FE57F1" w:rsidRDefault="00FE57F1" w:rsidP="00FE57F1">
      <w:pPr>
        <w:ind w:firstLine="709"/>
        <w:jc w:val="both"/>
        <w:rPr>
          <w:rFonts w:eastAsia="Times New Roman"/>
          <w:color w:val="FF0000"/>
          <w:sz w:val="20"/>
          <w:szCs w:val="20"/>
        </w:rPr>
      </w:pPr>
      <w:r w:rsidRPr="00FE57F1">
        <w:rPr>
          <w:rFonts w:eastAsia="Times New Roman"/>
          <w:sz w:val="20"/>
          <w:szCs w:val="20"/>
        </w:rPr>
        <w:lastRenderedPageBreak/>
        <w:t xml:space="preserve">Значение показателя </w:t>
      </w:r>
      <w:r w:rsidRPr="00FE57F1">
        <w:rPr>
          <w:rFonts w:eastAsia="Times New Roman"/>
          <w:i/>
          <w:sz w:val="20"/>
          <w:szCs w:val="2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r w:rsidRPr="00FE57F1">
        <w:rPr>
          <w:rFonts w:eastAsia="Times New Roman"/>
          <w:sz w:val="20"/>
          <w:szCs w:val="20"/>
        </w:rPr>
        <w:t xml:space="preserve">в 2022 году составило 63,16%. На территории МО ГО «Сыктывкар» отсутствуют муниципальные общеобразовательные организации, находящиеся в аварийном состоянии. </w:t>
      </w:r>
    </w:p>
    <w:p w:rsidR="00FE57F1" w:rsidRPr="00FE57F1" w:rsidRDefault="00FE57F1" w:rsidP="00FE57F1">
      <w:pPr>
        <w:ind w:firstLine="709"/>
        <w:jc w:val="both"/>
        <w:rPr>
          <w:rFonts w:eastAsia="Times New Roman"/>
          <w:sz w:val="20"/>
          <w:szCs w:val="20"/>
        </w:rPr>
      </w:pPr>
      <w:proofErr w:type="gramStart"/>
      <w:r w:rsidRPr="00FE57F1">
        <w:rPr>
          <w:rFonts w:eastAsia="Times New Roman"/>
          <w:sz w:val="20"/>
          <w:szCs w:val="20"/>
        </w:rPr>
        <w:t>В 2022 году  доля муниципальных общеобразовательных организаций, здания которых требуют капительного ремонта осталась на уровне 2021 года и составляет 63,16% в связи с тем, что здания практически всех муниципальных общеобразовательных организаций  введены в строй  более 50-60 лет назад, все они работают с увеличенной нагрузкой, при  наличии значительной доли  обучающихся во вторую смену - от 25% и выше.</w:t>
      </w:r>
      <w:proofErr w:type="gramEnd"/>
      <w:r w:rsidRPr="00FE57F1">
        <w:rPr>
          <w:rFonts w:eastAsia="Times New Roman"/>
          <w:sz w:val="20"/>
          <w:szCs w:val="20"/>
        </w:rPr>
        <w:t xml:space="preserve"> При этом ежегодно контингент обучающихся в школах города увеличивается на 709 учащихся.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Значительное превышение проектной мощности по числу учащихся в этих школах, ежегодное наличие второй смены увеличивает нагрузку на здания  школ и приводит к износу инженерных сетей, конструктивных элементов, ухудшению состояния зданий муниципальных общеобразовательных организаций в целом.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Благодаря совместным усилиям администрации города, управлением образования  администрации МО ГО «Сыктывкар» 9 школ города вошли в федеральную Программу  проведения капитального ремонта и оснащения зданий общеобразовательных организаций субъектов Российской Федерации и муниципальных общеобразовательных организаций на 2024-2025 гг.</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 В данную федеральную программу вошли 9 школ: МАОУ "Гимназия им. А.С. Пушкина" по ул. Орджоникидзе; МАОУ "СОШ № 1", МАОУ "СОШ № 4", МАОУ "СОШ №16", МАОУ "СОШ № 21", МАОУ "СОШ № 22", МАОУ "СОШ № 31", МАОУ "СОШ № 36", МАОУ "СОШ № 38".</w:t>
      </w:r>
    </w:p>
    <w:p w:rsidR="00FE57F1" w:rsidRDefault="00FE57F1" w:rsidP="00FE57F1">
      <w:pPr>
        <w:ind w:firstLine="709"/>
        <w:jc w:val="both"/>
        <w:rPr>
          <w:rFonts w:eastAsia="Times New Roman"/>
          <w:sz w:val="20"/>
          <w:szCs w:val="20"/>
        </w:rPr>
      </w:pPr>
      <w:proofErr w:type="gramStart"/>
      <w:r w:rsidRPr="00FE57F1">
        <w:rPr>
          <w:rFonts w:eastAsia="Times New Roman"/>
          <w:sz w:val="20"/>
          <w:szCs w:val="20"/>
        </w:rPr>
        <w:t xml:space="preserve">По итогам 2022 года </w:t>
      </w:r>
      <w:r w:rsidRPr="00FE57F1">
        <w:rPr>
          <w:rFonts w:eastAsia="Times New Roman"/>
          <w:i/>
          <w:sz w:val="20"/>
          <w:szCs w:val="20"/>
        </w:rPr>
        <w:t>расходы бюджета муниципального образования на общее образование в расчете на 1 обучающегося</w:t>
      </w:r>
      <w:r w:rsidRPr="00FE57F1">
        <w:rPr>
          <w:rFonts w:eastAsia="Times New Roman"/>
          <w:sz w:val="20"/>
          <w:szCs w:val="20"/>
        </w:rPr>
        <w:t xml:space="preserve"> выше значения предыдущего года в связи:  с индексацией заработной платы  с 01.01.2022 года на 4% и с 01.07.2022 года на 10%; с поступлением субсидий из Республиканского бюджета РК на укрепление МТБ, проведением текущих и капитальных  ремонтов.  </w:t>
      </w:r>
      <w:proofErr w:type="gramEnd"/>
    </w:p>
    <w:p w:rsidR="00FE57F1" w:rsidRPr="00FE57F1" w:rsidRDefault="00FE57F1" w:rsidP="00FE57F1">
      <w:pPr>
        <w:ind w:firstLine="709"/>
        <w:jc w:val="both"/>
        <w:rPr>
          <w:rFonts w:eastAsia="Times New Roman"/>
          <w:sz w:val="20"/>
          <w:szCs w:val="20"/>
        </w:rPr>
      </w:pPr>
      <w:r w:rsidRPr="00FE57F1">
        <w:rPr>
          <w:rFonts w:eastAsia="Times New Roman"/>
          <w:sz w:val="20"/>
          <w:szCs w:val="20"/>
        </w:rPr>
        <w:t>Показатель «</w:t>
      </w:r>
      <w:r w:rsidRPr="00FE57F1">
        <w:rPr>
          <w:rFonts w:eastAsia="Times New Roman"/>
          <w:i/>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FE57F1">
        <w:rPr>
          <w:rFonts w:eastAsia="Times New Roman"/>
          <w:sz w:val="20"/>
          <w:szCs w:val="20"/>
        </w:rPr>
        <w:t xml:space="preserve">» за отчетный год увеличился и составил 81%, ввиду увеличения охвата услугами дополнительного образования детей в возрасте от 5 до 7 лет.  </w:t>
      </w:r>
    </w:p>
    <w:p w:rsidR="00FE57F1" w:rsidRPr="00FE57F1" w:rsidRDefault="00FE57F1" w:rsidP="00FE57F1">
      <w:pPr>
        <w:ind w:firstLine="709"/>
        <w:jc w:val="both"/>
        <w:rPr>
          <w:rFonts w:eastAsia="Times New Roman"/>
          <w:sz w:val="20"/>
          <w:szCs w:val="20"/>
        </w:rPr>
      </w:pPr>
      <w:r w:rsidRPr="00FE57F1">
        <w:rPr>
          <w:rFonts w:eastAsia="Times New Roman"/>
          <w:sz w:val="20"/>
          <w:szCs w:val="20"/>
        </w:rPr>
        <w:t xml:space="preserve">Охват  детей в возрасте от 5 до  18 лет услугами дополнительного образования в МО ГО «Сыктывкар» увеличился в связи с тем, что на портале ПФДО более доступными стали для детей дополнительные программы </w:t>
      </w:r>
      <w:proofErr w:type="spellStart"/>
      <w:r w:rsidRPr="00FE57F1">
        <w:rPr>
          <w:rFonts w:eastAsia="Times New Roman"/>
          <w:sz w:val="20"/>
          <w:szCs w:val="20"/>
        </w:rPr>
        <w:t>спортподготовки</w:t>
      </w:r>
      <w:proofErr w:type="spellEnd"/>
      <w:r w:rsidRPr="00FE57F1">
        <w:rPr>
          <w:rFonts w:eastAsia="Times New Roman"/>
          <w:sz w:val="20"/>
          <w:szCs w:val="20"/>
        </w:rPr>
        <w:t>, реализуемые в организациях физкультуры и спорта.</w:t>
      </w:r>
    </w:p>
    <w:p w:rsidR="00E84569" w:rsidRPr="00CD4ABF" w:rsidRDefault="00E84569" w:rsidP="00E84569">
      <w:pPr>
        <w:ind w:firstLine="709"/>
        <w:jc w:val="both"/>
        <w:rPr>
          <w:rFonts w:eastAsia="Times New Roman"/>
          <w:color w:val="FF0000"/>
          <w:sz w:val="20"/>
          <w:szCs w:val="20"/>
        </w:rPr>
      </w:pPr>
      <w:r w:rsidRPr="00CD4ABF">
        <w:rPr>
          <w:rFonts w:eastAsia="Times New Roman"/>
          <w:color w:val="FF0000"/>
          <w:sz w:val="20"/>
          <w:szCs w:val="20"/>
        </w:rPr>
        <w:t xml:space="preserve"> </w:t>
      </w:r>
    </w:p>
    <w:p w:rsidR="00C47CFD" w:rsidRPr="00CD4ABF" w:rsidRDefault="00C47CFD" w:rsidP="000C6017">
      <w:pPr>
        <w:jc w:val="center"/>
        <w:outlineLvl w:val="0"/>
        <w:rPr>
          <w:b/>
          <w:color w:val="FF0000"/>
          <w:sz w:val="20"/>
          <w:szCs w:val="20"/>
          <w:highlight w:val="yellow"/>
        </w:rPr>
      </w:pPr>
    </w:p>
    <w:p w:rsidR="000C6017" w:rsidRPr="00FE57F1" w:rsidRDefault="000C6017" w:rsidP="000C6017">
      <w:pPr>
        <w:jc w:val="center"/>
        <w:outlineLvl w:val="0"/>
        <w:rPr>
          <w:b/>
          <w:sz w:val="20"/>
          <w:szCs w:val="20"/>
        </w:rPr>
      </w:pPr>
      <w:r w:rsidRPr="00FE57F1">
        <w:rPr>
          <w:b/>
          <w:sz w:val="20"/>
          <w:szCs w:val="20"/>
        </w:rPr>
        <w:t>4. Культура</w:t>
      </w:r>
    </w:p>
    <w:p w:rsidR="000C6017" w:rsidRPr="00FE57F1" w:rsidRDefault="000C6017" w:rsidP="000C6017">
      <w:pPr>
        <w:jc w:val="center"/>
        <w:rPr>
          <w:b/>
          <w:sz w:val="20"/>
          <w:szCs w:val="20"/>
          <w:highlight w:val="yellow"/>
        </w:rPr>
      </w:pPr>
    </w:p>
    <w:p w:rsidR="003E5871" w:rsidRPr="00FE57F1" w:rsidRDefault="00FE57F1" w:rsidP="003E5871">
      <w:pPr>
        <w:pStyle w:val="a5"/>
        <w:ind w:firstLine="567"/>
        <w:jc w:val="both"/>
        <w:rPr>
          <w:rFonts w:ascii="Times New Roman" w:hAnsi="Times New Roman"/>
          <w:sz w:val="20"/>
          <w:szCs w:val="20"/>
        </w:rPr>
      </w:pPr>
      <w:r w:rsidRPr="00FE57F1">
        <w:rPr>
          <w:rFonts w:ascii="Times New Roman" w:hAnsi="Times New Roman"/>
          <w:sz w:val="20"/>
          <w:szCs w:val="20"/>
        </w:rPr>
        <w:t xml:space="preserve">Значение показателя </w:t>
      </w:r>
      <w:r w:rsidRPr="00FE57F1">
        <w:rPr>
          <w:rFonts w:ascii="Times New Roman" w:hAnsi="Times New Roman"/>
          <w:i/>
          <w:sz w:val="20"/>
          <w:szCs w:val="20"/>
        </w:rPr>
        <w:t>«Уровень обеспеченности клубами и учреждениями клубного типа»</w:t>
      </w:r>
      <w:r w:rsidRPr="00FE57F1">
        <w:rPr>
          <w:rFonts w:ascii="Times New Roman" w:hAnsi="Times New Roman"/>
          <w:sz w:val="20"/>
          <w:szCs w:val="20"/>
        </w:rPr>
        <w:t xml:space="preserve"> составило в 2022 году 100%. Исходя из действующей методики расчета показателя, потребность города составляет 2,6 учреждения, при фактическом значении – 10 учреждений. На базе муниципальных учреждений клубного типа продолжили свою деятельность 199 клубных формирований с общей численностью занимающихся 4 071 человек. Основная направленность работы клубных формирований – это кружки и студии, клубы по интересам и творческие объединения, коллективы художественной самодеятельности, спортивные, театральные и т.д. Самые популярные и многочисленные – хоровые и танцевальные коллективы.</w:t>
      </w:r>
      <w:r w:rsidR="003E5871" w:rsidRPr="00FE57F1">
        <w:rPr>
          <w:rFonts w:ascii="Times New Roman" w:hAnsi="Times New Roman"/>
          <w:sz w:val="20"/>
          <w:szCs w:val="20"/>
        </w:rPr>
        <w:t xml:space="preserve"> </w:t>
      </w:r>
    </w:p>
    <w:p w:rsidR="00FE57F1" w:rsidRPr="00FE57F1" w:rsidRDefault="00FE57F1" w:rsidP="003E5871">
      <w:pPr>
        <w:pStyle w:val="a5"/>
        <w:ind w:firstLine="567"/>
        <w:jc w:val="both"/>
        <w:rPr>
          <w:rFonts w:ascii="Times New Roman" w:hAnsi="Times New Roman"/>
          <w:sz w:val="20"/>
          <w:szCs w:val="20"/>
        </w:rPr>
      </w:pPr>
      <w:r w:rsidRPr="00FE57F1">
        <w:rPr>
          <w:rFonts w:ascii="Times New Roman" w:hAnsi="Times New Roman"/>
          <w:sz w:val="20"/>
          <w:szCs w:val="20"/>
        </w:rPr>
        <w:t>Значение показателя «</w:t>
      </w:r>
      <w:r w:rsidRPr="00FE57F1">
        <w:rPr>
          <w:rFonts w:ascii="Times New Roman" w:hAnsi="Times New Roman"/>
          <w:i/>
          <w:sz w:val="20"/>
          <w:szCs w:val="20"/>
        </w:rPr>
        <w:t>Уровень обеспеченности библиотеками</w:t>
      </w:r>
      <w:r w:rsidRPr="00FE57F1">
        <w:rPr>
          <w:rFonts w:ascii="Times New Roman" w:hAnsi="Times New Roman"/>
          <w:sz w:val="20"/>
          <w:szCs w:val="20"/>
        </w:rPr>
        <w:t>» составило 100%. При нормативной потребности 16,2 библиотек в МО ГО «Сыктывкар» функционируют 2 централизованные библиотечные системы с 22 филиалами. Библиотечный фонд  составил 461 629 экземпляров. Число зарегистрированных пользователей двух библиотечных систем составило 46 тыс. человек.</w:t>
      </w:r>
    </w:p>
    <w:p w:rsidR="00FE57F1" w:rsidRPr="00FE57F1" w:rsidRDefault="00FE57F1" w:rsidP="00800A8A">
      <w:pPr>
        <w:pStyle w:val="a5"/>
        <w:ind w:firstLine="567"/>
        <w:jc w:val="both"/>
        <w:rPr>
          <w:rFonts w:ascii="Times New Roman" w:hAnsi="Times New Roman"/>
          <w:sz w:val="20"/>
          <w:szCs w:val="20"/>
        </w:rPr>
      </w:pPr>
      <w:r w:rsidRPr="00FE57F1">
        <w:rPr>
          <w:rFonts w:ascii="Times New Roman" w:hAnsi="Times New Roman"/>
          <w:i/>
          <w:sz w:val="20"/>
          <w:szCs w:val="20"/>
        </w:rPr>
        <w:t>Уровень фактической обеспеченности парками культуры и отдыха</w:t>
      </w:r>
      <w:r w:rsidRPr="00FE57F1">
        <w:rPr>
          <w:rFonts w:ascii="Times New Roman" w:hAnsi="Times New Roman"/>
          <w:sz w:val="20"/>
          <w:szCs w:val="20"/>
        </w:rPr>
        <w:t xml:space="preserve"> составляет 45,95%.  В МО ГО «Сыктывкар» официально существует 4 городских парка (парк им. Кирова, Мичуринский парк, парк Менделеева, парк «Строитель»). С 2018 года согласно новой методике расчета показателя норма для городского округа 1 ед. на 30 тыс. чел. населения: потребность по МО ГО «Сыктывкар» - 8,64 парков. </w:t>
      </w:r>
    </w:p>
    <w:p w:rsidR="00FE57F1" w:rsidRPr="00FE57F1" w:rsidRDefault="00FE57F1" w:rsidP="00FE57F1">
      <w:pPr>
        <w:pStyle w:val="a5"/>
        <w:ind w:firstLine="567"/>
        <w:jc w:val="both"/>
        <w:rPr>
          <w:rFonts w:ascii="Times New Roman" w:hAnsi="Times New Roman"/>
          <w:sz w:val="20"/>
          <w:szCs w:val="20"/>
        </w:rPr>
      </w:pPr>
      <w:r w:rsidRPr="00FE57F1">
        <w:rPr>
          <w:rFonts w:ascii="Times New Roman" w:hAnsi="Times New Roman"/>
          <w:sz w:val="20"/>
          <w:szCs w:val="20"/>
        </w:rPr>
        <w:t xml:space="preserve">В 2021 году заключен Договор в целях благоустройства парка по ул. Славы в г. Сыктывкаре общей площадью 87 646 кв.м. В 2021 году разработан дизайн-проект парка и концепция благоустройства (1 этап), в 2022 году организована разработка проектно-сметной документации (2 этап). </w:t>
      </w:r>
    </w:p>
    <w:p w:rsidR="00FE57F1" w:rsidRPr="00FE57F1" w:rsidRDefault="00FE57F1" w:rsidP="00FE57F1">
      <w:pPr>
        <w:pStyle w:val="a5"/>
        <w:ind w:firstLine="567"/>
        <w:jc w:val="both"/>
        <w:rPr>
          <w:rFonts w:ascii="Times New Roman" w:hAnsi="Times New Roman"/>
          <w:sz w:val="20"/>
          <w:szCs w:val="20"/>
        </w:rPr>
      </w:pPr>
      <w:r w:rsidRPr="00FE57F1">
        <w:rPr>
          <w:rFonts w:ascii="Times New Roman" w:hAnsi="Times New Roman"/>
          <w:sz w:val="20"/>
          <w:szCs w:val="20"/>
        </w:rPr>
        <w:t xml:space="preserve">Кроме этого, в 2021 году разработана проектная документация парка культуры и отдыха им. Кирова. </w:t>
      </w:r>
    </w:p>
    <w:p w:rsidR="00FE57F1" w:rsidRPr="00FE57F1" w:rsidRDefault="00FE57F1" w:rsidP="00FE57F1">
      <w:pPr>
        <w:pStyle w:val="a5"/>
        <w:ind w:firstLine="567"/>
        <w:jc w:val="both"/>
        <w:rPr>
          <w:rFonts w:ascii="Times New Roman" w:hAnsi="Times New Roman"/>
          <w:color w:val="FF0000"/>
          <w:sz w:val="20"/>
          <w:szCs w:val="20"/>
        </w:rPr>
      </w:pPr>
      <w:r w:rsidRPr="00FE57F1">
        <w:rPr>
          <w:rFonts w:ascii="Times New Roman" w:hAnsi="Times New Roman"/>
          <w:sz w:val="20"/>
          <w:szCs w:val="20"/>
        </w:rPr>
        <w:t>Значение показателя «</w:t>
      </w:r>
      <w:r w:rsidRPr="00FE57F1">
        <w:rPr>
          <w:rFonts w:ascii="Times New Roman" w:hAnsi="Times New Roman"/>
          <w:i/>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FE57F1">
        <w:rPr>
          <w:rFonts w:ascii="Times New Roman" w:hAnsi="Times New Roman"/>
          <w:sz w:val="20"/>
          <w:szCs w:val="20"/>
        </w:rPr>
        <w:t xml:space="preserve">» в 2022 году составило 11,2%. За учреждениями культуры было закреплено 16 отдельно стоящих зданий и помещений. </w:t>
      </w:r>
    </w:p>
    <w:p w:rsidR="00FE57F1" w:rsidRPr="00FE57F1" w:rsidRDefault="00FE57F1" w:rsidP="00FE57F1">
      <w:pPr>
        <w:ind w:firstLine="708"/>
        <w:jc w:val="both"/>
        <w:rPr>
          <w:sz w:val="20"/>
          <w:szCs w:val="20"/>
        </w:rPr>
      </w:pPr>
      <w:proofErr w:type="gramStart"/>
      <w:r w:rsidRPr="00FE57F1">
        <w:rPr>
          <w:sz w:val="20"/>
          <w:szCs w:val="20"/>
        </w:rPr>
        <w:t xml:space="preserve">Увеличение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2022 году связано с передачей в муниципальную собственность  МО ГО «Сыктывкар» (в оперативное управление МАУК «Центр досуга «Лира») здания бывшего ГПТУ № 7, находящегося по адресу: г. Сыктывкар, п.г.т. </w:t>
      </w:r>
      <w:proofErr w:type="spellStart"/>
      <w:r w:rsidRPr="00FE57F1">
        <w:rPr>
          <w:sz w:val="20"/>
          <w:szCs w:val="20"/>
        </w:rPr>
        <w:t>В.Максаковка</w:t>
      </w:r>
      <w:proofErr w:type="spellEnd"/>
      <w:r w:rsidRPr="00FE57F1">
        <w:rPr>
          <w:sz w:val="20"/>
          <w:szCs w:val="20"/>
        </w:rPr>
        <w:t xml:space="preserve">, ул. </w:t>
      </w:r>
      <w:proofErr w:type="spellStart"/>
      <w:r w:rsidRPr="00FE57F1">
        <w:rPr>
          <w:sz w:val="20"/>
          <w:szCs w:val="20"/>
        </w:rPr>
        <w:t>Красноборская</w:t>
      </w:r>
      <w:proofErr w:type="spellEnd"/>
      <w:r w:rsidRPr="00FE57F1">
        <w:rPr>
          <w:sz w:val="20"/>
          <w:szCs w:val="20"/>
        </w:rPr>
        <w:t>, 45.</w:t>
      </w:r>
      <w:proofErr w:type="gramEnd"/>
      <w:r w:rsidRPr="00FE57F1">
        <w:rPr>
          <w:sz w:val="20"/>
          <w:szCs w:val="20"/>
        </w:rPr>
        <w:t xml:space="preserve"> </w:t>
      </w:r>
      <w:r w:rsidRPr="00FE57F1">
        <w:rPr>
          <w:sz w:val="20"/>
          <w:szCs w:val="20"/>
          <w:lang w:eastAsia="en-US"/>
        </w:rPr>
        <w:t xml:space="preserve">В указанном здании  </w:t>
      </w:r>
      <w:r w:rsidRPr="00FE57F1">
        <w:rPr>
          <w:sz w:val="20"/>
          <w:szCs w:val="20"/>
        </w:rPr>
        <w:t>планируется  разместить  три  учреждения культуры поселка В. Максаковка: Центр досуга «Лира», детскую музыкальную школу, филиал - библиотеку №2 Централизованной  библиотечной системы. В настоящее время проводится работа по подготовке документов для проведения капитального ремонта здания в целях создания современного центра культуры в соответствии с требованиями  и стандартами, предъявляемыми к учреждениям культуры. В 2023 году запланировано проведение  технического обследования здания для проведения капитального ремонта, подготовка проектно-</w:t>
      </w:r>
      <w:r w:rsidRPr="00FE57F1">
        <w:rPr>
          <w:sz w:val="20"/>
          <w:szCs w:val="20"/>
        </w:rPr>
        <w:lastRenderedPageBreak/>
        <w:t xml:space="preserve">сметной документации  и </w:t>
      </w:r>
      <w:proofErr w:type="gramStart"/>
      <w:r w:rsidRPr="00FE57F1">
        <w:rPr>
          <w:sz w:val="20"/>
          <w:szCs w:val="20"/>
        </w:rPr>
        <w:t>дизайн-проекта</w:t>
      </w:r>
      <w:proofErr w:type="gramEnd"/>
      <w:r w:rsidRPr="00FE57F1">
        <w:rPr>
          <w:sz w:val="20"/>
          <w:szCs w:val="20"/>
        </w:rPr>
        <w:t xml:space="preserve">, прохождение </w:t>
      </w:r>
      <w:proofErr w:type="spellStart"/>
      <w:r w:rsidRPr="00FE57F1">
        <w:rPr>
          <w:sz w:val="20"/>
          <w:szCs w:val="20"/>
        </w:rPr>
        <w:t>госэкспертизы</w:t>
      </w:r>
      <w:proofErr w:type="spellEnd"/>
      <w:r w:rsidRPr="00FE57F1">
        <w:rPr>
          <w:sz w:val="20"/>
          <w:szCs w:val="20"/>
        </w:rPr>
        <w:t xml:space="preserve"> ПСД. В 2024 году планируется оформление заявки на участие в национальном проекте «Культура» по  мероприятию «Строительство (реконструкция) и капитальный ремонт учреждений культуры» на 2025-2027 годы  на условиях софинансирования из местного бюджета «Реновация региональных и муниципальных учреждений отрасли культура». В 2025 – 2026 гг. – в случае получения финансирования, реновация здания бывшего автомеханического техникума по адресу: п.г.т. В Максаковка, ул</w:t>
      </w:r>
      <w:proofErr w:type="gramStart"/>
      <w:r w:rsidRPr="00FE57F1">
        <w:rPr>
          <w:sz w:val="20"/>
          <w:szCs w:val="20"/>
        </w:rPr>
        <w:t>.К</w:t>
      </w:r>
      <w:proofErr w:type="gramEnd"/>
      <w:r w:rsidRPr="00FE57F1">
        <w:rPr>
          <w:sz w:val="20"/>
          <w:szCs w:val="20"/>
        </w:rPr>
        <w:t xml:space="preserve">расноборская,45. </w:t>
      </w:r>
    </w:p>
    <w:p w:rsidR="00FE57F1" w:rsidRPr="00FE57F1" w:rsidRDefault="00FE57F1" w:rsidP="00FE57F1">
      <w:pPr>
        <w:pStyle w:val="a5"/>
        <w:ind w:firstLine="708"/>
        <w:jc w:val="both"/>
        <w:rPr>
          <w:rFonts w:ascii="Times New Roman" w:eastAsiaTheme="minorHAnsi" w:hAnsi="Times New Roman"/>
          <w:sz w:val="20"/>
          <w:szCs w:val="20"/>
        </w:rPr>
      </w:pPr>
      <w:r w:rsidRPr="00FE57F1">
        <w:rPr>
          <w:rFonts w:ascii="Times New Roman" w:hAnsi="Times New Roman"/>
          <w:sz w:val="20"/>
          <w:szCs w:val="20"/>
        </w:rPr>
        <w:t>Снижение данного показателя запланировано в 2023 году, после проведения капитального ремонта МАУК «ДРКИ».  В 2022 году Управление культуры приняло участие в конкурсном отборе на предоставление субсидии из республиканского бюджета на укрепление материально-технической базы муниципальных учреждений сферы культуры. По результатам отбора в 2023 году планируется капитальный ремонт кровли и фасада здания</w:t>
      </w:r>
      <w:r w:rsidRPr="00FE57F1">
        <w:rPr>
          <w:sz w:val="20"/>
          <w:szCs w:val="20"/>
        </w:rPr>
        <w:t xml:space="preserve">  </w:t>
      </w:r>
      <w:r w:rsidRPr="00FE57F1">
        <w:rPr>
          <w:rFonts w:ascii="Times New Roman" w:hAnsi="Times New Roman"/>
          <w:sz w:val="20"/>
          <w:szCs w:val="20"/>
        </w:rPr>
        <w:t>Дома развития культуры и искусства</w:t>
      </w:r>
      <w:r w:rsidRPr="00FE57F1">
        <w:rPr>
          <w:rFonts w:ascii="Times New Roman" w:eastAsiaTheme="minorHAnsi" w:hAnsi="Times New Roman"/>
          <w:sz w:val="20"/>
          <w:szCs w:val="20"/>
        </w:rPr>
        <w:t xml:space="preserve"> в размере 30,3 млн. рублей, в том числе за счет субсидий из республиканского бюджета Республики Коми в размере 27,2 млн. рублей.</w:t>
      </w:r>
    </w:p>
    <w:p w:rsidR="00FE57F1" w:rsidRPr="00FE57F1" w:rsidRDefault="00FE57F1" w:rsidP="00FE57F1">
      <w:pPr>
        <w:pStyle w:val="a5"/>
        <w:ind w:firstLine="567"/>
        <w:jc w:val="both"/>
        <w:rPr>
          <w:rFonts w:ascii="Times New Roman" w:eastAsia="Times New Roman" w:hAnsi="Times New Roman"/>
          <w:sz w:val="20"/>
          <w:szCs w:val="20"/>
          <w:lang w:eastAsia="ru-RU"/>
        </w:rPr>
      </w:pPr>
      <w:r w:rsidRPr="00FE57F1">
        <w:rPr>
          <w:rFonts w:ascii="Times New Roman" w:hAnsi="Times New Roman"/>
          <w:i/>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Pr="00FE57F1">
        <w:rPr>
          <w:rFonts w:ascii="Times New Roman" w:hAnsi="Times New Roman"/>
          <w:sz w:val="20"/>
          <w:szCs w:val="20"/>
        </w:rPr>
        <w:t xml:space="preserve"> в</w:t>
      </w:r>
      <w:r w:rsidRPr="00FE57F1">
        <w:rPr>
          <w:rFonts w:ascii="Times New Roman" w:eastAsia="Times New Roman" w:hAnsi="Times New Roman"/>
          <w:sz w:val="20"/>
          <w:szCs w:val="20"/>
          <w:lang w:eastAsia="ru-RU"/>
        </w:rPr>
        <w:t xml:space="preserve"> отчетном году составила 36,36%. </w:t>
      </w:r>
    </w:p>
    <w:p w:rsidR="00FE57F1" w:rsidRPr="00FE57F1" w:rsidRDefault="00FE57F1" w:rsidP="00FE57F1">
      <w:pPr>
        <w:pStyle w:val="a5"/>
        <w:ind w:firstLine="567"/>
        <w:jc w:val="both"/>
        <w:rPr>
          <w:rFonts w:ascii="Times New Roman" w:eastAsia="Times New Roman" w:hAnsi="Times New Roman"/>
          <w:sz w:val="20"/>
          <w:szCs w:val="20"/>
          <w:lang w:eastAsia="ru-RU"/>
        </w:rPr>
      </w:pPr>
      <w:r w:rsidRPr="00FE57F1">
        <w:rPr>
          <w:rFonts w:ascii="Times New Roman" w:eastAsia="Times New Roman" w:hAnsi="Times New Roman"/>
          <w:sz w:val="20"/>
          <w:szCs w:val="20"/>
          <w:lang w:eastAsia="ru-RU"/>
        </w:rPr>
        <w:t>В 2022 году из 11 объектов культурного наследия, находящихся в собственности МО ГО «Сыктывкар» 4 объекта требуют консервации или реставрации: Школа рабочей молодежи (жилое здание), расположенное по адресу: г</w:t>
      </w:r>
      <w:proofErr w:type="gramStart"/>
      <w:r w:rsidRPr="00FE57F1">
        <w:rPr>
          <w:rFonts w:ascii="Times New Roman" w:eastAsia="Times New Roman" w:hAnsi="Times New Roman"/>
          <w:sz w:val="20"/>
          <w:szCs w:val="20"/>
          <w:lang w:eastAsia="ru-RU"/>
        </w:rPr>
        <w:t>.С</w:t>
      </w:r>
      <w:proofErr w:type="gramEnd"/>
      <w:r w:rsidRPr="00FE57F1">
        <w:rPr>
          <w:rFonts w:ascii="Times New Roman" w:eastAsia="Times New Roman" w:hAnsi="Times New Roman"/>
          <w:sz w:val="20"/>
          <w:szCs w:val="20"/>
          <w:lang w:eastAsia="ru-RU"/>
        </w:rPr>
        <w:t>ыктывкар, ул.Кирова, д.27, Жилой дом по адресу: г.Сыктывкар, ул. Советская д.27; Школа (Нежилое здание МАОУ "Гимназия им.А.С. Пушкина"), по адресу: г.Сыктывкар, ул. Советская, д.14., Жилой дом по адресу: г.Сыктывкар ул. Заводская 45.</w:t>
      </w:r>
    </w:p>
    <w:p w:rsidR="00FE57F1" w:rsidRPr="00FE57F1" w:rsidRDefault="00FE57F1" w:rsidP="00FE57F1">
      <w:pPr>
        <w:pStyle w:val="a5"/>
        <w:ind w:firstLine="567"/>
        <w:jc w:val="both"/>
        <w:rPr>
          <w:rFonts w:ascii="Times New Roman" w:eastAsia="Times New Roman" w:hAnsi="Times New Roman"/>
          <w:sz w:val="20"/>
          <w:szCs w:val="20"/>
          <w:lang w:eastAsia="ru-RU"/>
        </w:rPr>
      </w:pPr>
      <w:r w:rsidRPr="00FE57F1">
        <w:rPr>
          <w:rFonts w:ascii="Times New Roman" w:eastAsia="Times New Roman" w:hAnsi="Times New Roman"/>
          <w:sz w:val="20"/>
          <w:szCs w:val="20"/>
          <w:lang w:eastAsia="ru-RU"/>
        </w:rPr>
        <w:t>Увеличение в 2022 году доли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связан с признанием объекта «Жилой дом, г. Сыктывкар, ул. Заводская 45» требующим реставрации и консервации.</w:t>
      </w:r>
    </w:p>
    <w:p w:rsidR="00FE57F1" w:rsidRPr="00FE57F1" w:rsidRDefault="00FE57F1" w:rsidP="00FE57F1">
      <w:pPr>
        <w:pStyle w:val="a5"/>
        <w:ind w:firstLine="567"/>
        <w:jc w:val="both"/>
        <w:rPr>
          <w:rFonts w:ascii="Times New Roman" w:eastAsia="Times New Roman" w:hAnsi="Times New Roman"/>
          <w:sz w:val="20"/>
          <w:szCs w:val="20"/>
          <w:lang w:eastAsia="ru-RU"/>
        </w:rPr>
      </w:pPr>
      <w:r w:rsidRPr="00FE57F1">
        <w:rPr>
          <w:rFonts w:ascii="Times New Roman" w:eastAsia="Times New Roman" w:hAnsi="Times New Roman"/>
          <w:sz w:val="20"/>
          <w:szCs w:val="20"/>
          <w:lang w:eastAsia="ru-RU"/>
        </w:rPr>
        <w:t xml:space="preserve">Сокращение показателя в 2023  году  </w:t>
      </w:r>
      <w:r>
        <w:rPr>
          <w:rFonts w:ascii="Times New Roman" w:eastAsia="Times New Roman" w:hAnsi="Times New Roman"/>
          <w:sz w:val="20"/>
          <w:szCs w:val="20"/>
          <w:lang w:eastAsia="ru-RU"/>
        </w:rPr>
        <w:t>запланировано в связи</w:t>
      </w:r>
      <w:r w:rsidRPr="00FE57F1">
        <w:rPr>
          <w:rFonts w:ascii="Times New Roman" w:eastAsia="Times New Roman" w:hAnsi="Times New Roman"/>
          <w:sz w:val="20"/>
          <w:szCs w:val="20"/>
          <w:lang w:eastAsia="ru-RU"/>
        </w:rPr>
        <w:t xml:space="preserve"> с завершением в 2023 году ремонтных работ объекта культурного наследия - Школа (нежилое здание МАОУ «Гимназия им. А.С. Пушкина», г. Сыктывкар, ул. Советская, д.14.</w:t>
      </w:r>
    </w:p>
    <w:p w:rsidR="00FE57F1" w:rsidRPr="00FE57F1" w:rsidRDefault="00FE57F1" w:rsidP="00FE57F1">
      <w:pPr>
        <w:pStyle w:val="a5"/>
        <w:ind w:firstLine="567"/>
        <w:jc w:val="both"/>
        <w:rPr>
          <w:rFonts w:ascii="Times New Roman" w:eastAsia="Times New Roman" w:hAnsi="Times New Roman"/>
          <w:sz w:val="20"/>
          <w:szCs w:val="20"/>
          <w:lang w:eastAsia="ru-RU"/>
        </w:rPr>
      </w:pPr>
      <w:r w:rsidRPr="00FE57F1">
        <w:rPr>
          <w:rFonts w:ascii="Times New Roman" w:eastAsia="Times New Roman" w:hAnsi="Times New Roman"/>
          <w:sz w:val="20"/>
          <w:szCs w:val="20"/>
          <w:lang w:eastAsia="ru-RU"/>
        </w:rPr>
        <w:t xml:space="preserve">В рамках работ по сохранению объекта культурного наследия регионального значения «Школа рабочей молодежи» (ул. Кирова 27) в 2022 году подготовлена научно-проектная документация на проведение работ по сохранению объекта. Получено положительное заключение историко-культурной экспертизы и согласование проектной документации от Управления Республики Коми по охране объектов культурного наследия. Результаты государственной </w:t>
      </w:r>
      <w:proofErr w:type="gramStart"/>
      <w:r w:rsidRPr="00FE57F1">
        <w:rPr>
          <w:rFonts w:ascii="Times New Roman" w:eastAsia="Times New Roman" w:hAnsi="Times New Roman"/>
          <w:sz w:val="20"/>
          <w:szCs w:val="20"/>
          <w:lang w:eastAsia="ru-RU"/>
        </w:rPr>
        <w:t>экспертизы проверки достоверности определения сметной стоимости</w:t>
      </w:r>
      <w:proofErr w:type="gramEnd"/>
      <w:r w:rsidRPr="00FE57F1">
        <w:rPr>
          <w:rFonts w:ascii="Times New Roman" w:eastAsia="Times New Roman" w:hAnsi="Times New Roman"/>
          <w:sz w:val="20"/>
          <w:szCs w:val="20"/>
          <w:lang w:eastAsia="ru-RU"/>
        </w:rPr>
        <w:t xml:space="preserve"> получены 03.02.2023 года. В 2023 году будет разработана проектно-сметная документация на выполнение ремонтных работ. </w:t>
      </w:r>
    </w:p>
    <w:p w:rsidR="00FE57F1" w:rsidRPr="00FE57F1" w:rsidRDefault="00FE57F1" w:rsidP="00FE57F1">
      <w:pPr>
        <w:pStyle w:val="a5"/>
        <w:ind w:firstLine="567"/>
        <w:jc w:val="both"/>
        <w:rPr>
          <w:rFonts w:ascii="Times New Roman" w:eastAsia="Times New Roman" w:hAnsi="Times New Roman"/>
          <w:sz w:val="20"/>
          <w:szCs w:val="20"/>
          <w:lang w:eastAsia="ru-RU"/>
        </w:rPr>
      </w:pPr>
      <w:r w:rsidRPr="00FE57F1">
        <w:rPr>
          <w:rFonts w:ascii="Times New Roman" w:eastAsia="Times New Roman" w:hAnsi="Times New Roman"/>
          <w:sz w:val="20"/>
          <w:szCs w:val="20"/>
          <w:lang w:eastAsia="ru-RU"/>
        </w:rPr>
        <w:t xml:space="preserve">По объекту «Жилой дом» (ул. </w:t>
      </w:r>
      <w:proofErr w:type="gramStart"/>
      <w:r w:rsidRPr="00FE57F1">
        <w:rPr>
          <w:rFonts w:ascii="Times New Roman" w:eastAsia="Times New Roman" w:hAnsi="Times New Roman"/>
          <w:sz w:val="20"/>
          <w:szCs w:val="20"/>
          <w:lang w:eastAsia="ru-RU"/>
        </w:rPr>
        <w:t>Советская</w:t>
      </w:r>
      <w:proofErr w:type="gramEnd"/>
      <w:r w:rsidRPr="00FE57F1">
        <w:rPr>
          <w:rFonts w:ascii="Times New Roman" w:eastAsia="Times New Roman" w:hAnsi="Times New Roman"/>
          <w:sz w:val="20"/>
          <w:szCs w:val="20"/>
          <w:lang w:eastAsia="ru-RU"/>
        </w:rPr>
        <w:t xml:space="preserve"> д.27) в 2023 году запланировано выполнение работ по обследованию технического состояния здания.</w:t>
      </w:r>
    </w:p>
    <w:p w:rsidR="00FE57F1" w:rsidRPr="00FE57F1" w:rsidRDefault="00FE57F1" w:rsidP="00FE57F1">
      <w:pPr>
        <w:pStyle w:val="a5"/>
        <w:ind w:firstLine="567"/>
        <w:jc w:val="both"/>
        <w:rPr>
          <w:rFonts w:ascii="Times New Roman" w:hAnsi="Times New Roman"/>
          <w:sz w:val="20"/>
          <w:szCs w:val="20"/>
        </w:rPr>
      </w:pPr>
      <w:r w:rsidRPr="00FE57F1">
        <w:rPr>
          <w:rFonts w:ascii="Times New Roman" w:hAnsi="Times New Roman"/>
          <w:sz w:val="20"/>
          <w:szCs w:val="20"/>
        </w:rPr>
        <w:t xml:space="preserve">Деятельность по улучшению состояния сферы культуры города ведется в рамках реализации мероприятий муниципальной программы МО ГО «Сыктывкар» «Развитие культуры, физической культуры и спорта». </w:t>
      </w:r>
    </w:p>
    <w:p w:rsidR="000C6017" w:rsidRPr="00FE57F1" w:rsidRDefault="000C6017" w:rsidP="000C6017">
      <w:pPr>
        <w:pStyle w:val="a5"/>
        <w:ind w:firstLine="567"/>
        <w:jc w:val="both"/>
        <w:rPr>
          <w:rFonts w:ascii="Times New Roman" w:hAnsi="Times New Roman"/>
          <w:sz w:val="20"/>
          <w:szCs w:val="20"/>
          <w:highlight w:val="yellow"/>
        </w:rPr>
      </w:pPr>
    </w:p>
    <w:p w:rsidR="000C6017" w:rsidRPr="00FE57F1" w:rsidRDefault="000C6017" w:rsidP="000C6017">
      <w:pPr>
        <w:tabs>
          <w:tab w:val="center" w:pos="7632"/>
        </w:tabs>
        <w:jc w:val="center"/>
        <w:outlineLvl w:val="0"/>
        <w:rPr>
          <w:b/>
          <w:sz w:val="20"/>
          <w:szCs w:val="20"/>
        </w:rPr>
      </w:pPr>
      <w:r w:rsidRPr="00FE57F1">
        <w:rPr>
          <w:b/>
          <w:sz w:val="20"/>
          <w:szCs w:val="20"/>
        </w:rPr>
        <w:t>5. Физическая культура и спорт</w:t>
      </w:r>
    </w:p>
    <w:p w:rsidR="000C6017" w:rsidRPr="00FE57F1" w:rsidRDefault="000C6017" w:rsidP="000C6017">
      <w:pPr>
        <w:tabs>
          <w:tab w:val="center" w:pos="7632"/>
        </w:tabs>
        <w:jc w:val="center"/>
        <w:rPr>
          <w:b/>
          <w:sz w:val="20"/>
          <w:szCs w:val="20"/>
          <w:highlight w:val="yellow"/>
        </w:rPr>
      </w:pPr>
    </w:p>
    <w:p w:rsidR="00FE57F1" w:rsidRPr="00FE57F1" w:rsidRDefault="00FE57F1" w:rsidP="00FE57F1">
      <w:pPr>
        <w:tabs>
          <w:tab w:val="left" w:pos="2268"/>
          <w:tab w:val="center" w:pos="7632"/>
        </w:tabs>
        <w:ind w:firstLine="567"/>
        <w:jc w:val="both"/>
        <w:rPr>
          <w:sz w:val="20"/>
          <w:szCs w:val="20"/>
        </w:rPr>
      </w:pPr>
      <w:r w:rsidRPr="00FE57F1">
        <w:rPr>
          <w:i/>
          <w:sz w:val="20"/>
          <w:szCs w:val="20"/>
        </w:rPr>
        <w:t>Доля населения, систематически занимающегося физической культурой и спортом</w:t>
      </w:r>
      <w:r w:rsidRPr="00FE57F1">
        <w:rPr>
          <w:sz w:val="20"/>
          <w:szCs w:val="20"/>
        </w:rPr>
        <w:t xml:space="preserve">, в 2022 году составила 52,48%, что на 3,38% лучше уровня 2021 года. На территории города Сыктывкара общее количество занимающихся физической культурой и спортом – 120 924 человека (в 2021 году – 113 388 человек). </w:t>
      </w:r>
    </w:p>
    <w:p w:rsidR="00FE57F1" w:rsidRPr="00FE57F1" w:rsidRDefault="00FE57F1" w:rsidP="00FE57F1">
      <w:pPr>
        <w:tabs>
          <w:tab w:val="left" w:pos="2268"/>
          <w:tab w:val="center" w:pos="7632"/>
        </w:tabs>
        <w:ind w:firstLine="567"/>
        <w:jc w:val="both"/>
        <w:rPr>
          <w:sz w:val="20"/>
          <w:szCs w:val="20"/>
        </w:rPr>
      </w:pPr>
      <w:r w:rsidRPr="00FE57F1">
        <w:rPr>
          <w:sz w:val="20"/>
          <w:szCs w:val="20"/>
        </w:rPr>
        <w:t xml:space="preserve">Улучшение показателя обусловлено реализацией мероприятий муниципальной программы МО ГО «Сыктывкар» «Развитие культуры, физической культуры и спорта» в части реализации регионального проекта «Спорт-норма жизни!», развития Всероссийского физкультурно-спортивного комплекса «Готов к труду и обороне», увеличения качества предоставляемых услуг по спортивной подготовке и реализации направлений проекта «Народный бюджет». </w:t>
      </w:r>
    </w:p>
    <w:p w:rsidR="00FE57F1" w:rsidRPr="00FE57F1" w:rsidRDefault="00FE57F1" w:rsidP="00FE57F1">
      <w:pPr>
        <w:autoSpaceDE w:val="0"/>
        <w:autoSpaceDN w:val="0"/>
        <w:adjustRightInd w:val="0"/>
        <w:ind w:firstLine="567"/>
        <w:jc w:val="both"/>
        <w:rPr>
          <w:bCs/>
          <w:sz w:val="20"/>
          <w:szCs w:val="20"/>
        </w:rPr>
      </w:pPr>
      <w:proofErr w:type="gramStart"/>
      <w:r w:rsidRPr="00FE57F1">
        <w:rPr>
          <w:bCs/>
          <w:sz w:val="20"/>
          <w:szCs w:val="20"/>
        </w:rPr>
        <w:t>Немаловажным фактором увеличения населения систематически занимающегося физической культурой и спортом является реализация акции «День открытых дверей» (в рамках акции организуется бесплатное посещение спортивных объектов для всех категорий населения), бесплатных занятий для граждан в рамках проекта «Спортивный Сыктывкар», проведения традиционных общегородских мероприятий таких как  «Лыжня России», «Кросс наций», «Российский Азимут», «Оранжевый мяч» и др. (направленны на пропаганду занятий физической культурой и</w:t>
      </w:r>
      <w:proofErr w:type="gramEnd"/>
      <w:r w:rsidRPr="00FE57F1">
        <w:rPr>
          <w:bCs/>
          <w:sz w:val="20"/>
          <w:szCs w:val="20"/>
        </w:rPr>
        <w:t xml:space="preserve"> спортом).</w:t>
      </w:r>
    </w:p>
    <w:p w:rsidR="00FE57F1" w:rsidRPr="00FE57F1" w:rsidRDefault="00FE57F1" w:rsidP="00FE57F1">
      <w:pPr>
        <w:autoSpaceDE w:val="0"/>
        <w:autoSpaceDN w:val="0"/>
        <w:adjustRightInd w:val="0"/>
        <w:ind w:firstLine="567"/>
        <w:jc w:val="both"/>
        <w:rPr>
          <w:bCs/>
          <w:sz w:val="20"/>
          <w:szCs w:val="20"/>
        </w:rPr>
      </w:pPr>
      <w:r w:rsidRPr="00FE57F1">
        <w:rPr>
          <w:bCs/>
          <w:sz w:val="20"/>
          <w:szCs w:val="20"/>
        </w:rPr>
        <w:t>На территории МО ГО «Сыктывкар» деятельность в области физической культуры и спорта осуществляют 203 организации различной ведомственной принадлежности и типа, в том числе: 20 организаций дополнительного образования детей и организаций, осуществляющих спортивную подготовку; 35 физкультурно-спортивных клубов.</w:t>
      </w:r>
    </w:p>
    <w:p w:rsidR="00FE57F1" w:rsidRPr="00FE57F1" w:rsidRDefault="00FE57F1" w:rsidP="00FE57F1">
      <w:pPr>
        <w:tabs>
          <w:tab w:val="left" w:pos="993"/>
          <w:tab w:val="left" w:pos="1134"/>
        </w:tabs>
        <w:ind w:firstLine="709"/>
        <w:jc w:val="both"/>
        <w:rPr>
          <w:sz w:val="20"/>
          <w:szCs w:val="20"/>
        </w:rPr>
      </w:pPr>
      <w:r w:rsidRPr="00FE57F1">
        <w:rPr>
          <w:sz w:val="20"/>
          <w:szCs w:val="20"/>
        </w:rPr>
        <w:t>Подведомственными учреждениями управления физической культуры и спорта являются:</w:t>
      </w:r>
    </w:p>
    <w:p w:rsidR="00FE57F1" w:rsidRPr="00FE57F1" w:rsidRDefault="00FE57F1" w:rsidP="00FE57F1">
      <w:pPr>
        <w:tabs>
          <w:tab w:val="left" w:pos="993"/>
          <w:tab w:val="left" w:pos="1134"/>
        </w:tabs>
        <w:ind w:firstLine="709"/>
        <w:jc w:val="both"/>
        <w:rPr>
          <w:sz w:val="20"/>
          <w:szCs w:val="20"/>
        </w:rPr>
      </w:pPr>
      <w:r w:rsidRPr="00FE57F1">
        <w:rPr>
          <w:sz w:val="20"/>
          <w:szCs w:val="20"/>
        </w:rPr>
        <w:t>1.</w:t>
      </w:r>
      <w:r w:rsidRPr="00FE57F1">
        <w:rPr>
          <w:sz w:val="20"/>
          <w:szCs w:val="20"/>
        </w:rPr>
        <w:tab/>
      </w:r>
      <w:proofErr w:type="gramStart"/>
      <w:r w:rsidRPr="00FE57F1">
        <w:rPr>
          <w:sz w:val="20"/>
          <w:szCs w:val="20"/>
        </w:rPr>
        <w:t>МАУ «Спортивная школа «Северная Олимпия» (6 отделений: горнолыжный спорт, пулевая стрельба, фигурное катание на коньках, хоккей, шахматы, спортивное ориентирование).</w:t>
      </w:r>
      <w:proofErr w:type="gramEnd"/>
    </w:p>
    <w:p w:rsidR="00FE57F1" w:rsidRPr="00FE57F1" w:rsidRDefault="00FE57F1" w:rsidP="00FE57F1">
      <w:pPr>
        <w:tabs>
          <w:tab w:val="left" w:pos="993"/>
          <w:tab w:val="left" w:pos="1134"/>
        </w:tabs>
        <w:ind w:firstLine="709"/>
        <w:jc w:val="both"/>
        <w:rPr>
          <w:sz w:val="20"/>
          <w:szCs w:val="20"/>
        </w:rPr>
      </w:pPr>
      <w:r w:rsidRPr="00FE57F1">
        <w:rPr>
          <w:sz w:val="20"/>
          <w:szCs w:val="20"/>
        </w:rPr>
        <w:t>2.</w:t>
      </w:r>
      <w:r w:rsidRPr="00FE57F1">
        <w:rPr>
          <w:sz w:val="20"/>
          <w:szCs w:val="20"/>
        </w:rPr>
        <w:tab/>
        <w:t>МАУ Спортивная школа олимпийского резерва «</w:t>
      </w:r>
      <w:proofErr w:type="spellStart"/>
      <w:r w:rsidRPr="00FE57F1">
        <w:rPr>
          <w:sz w:val="20"/>
          <w:szCs w:val="20"/>
        </w:rPr>
        <w:t>Аквалидер</w:t>
      </w:r>
      <w:proofErr w:type="spellEnd"/>
      <w:r w:rsidRPr="00FE57F1">
        <w:rPr>
          <w:sz w:val="20"/>
          <w:szCs w:val="20"/>
        </w:rPr>
        <w:t>» (плавание).</w:t>
      </w:r>
    </w:p>
    <w:p w:rsidR="00FE57F1" w:rsidRPr="00FE57F1" w:rsidRDefault="00FE57F1" w:rsidP="00FE57F1">
      <w:pPr>
        <w:tabs>
          <w:tab w:val="left" w:pos="993"/>
          <w:tab w:val="left" w:pos="1134"/>
        </w:tabs>
        <w:ind w:firstLine="709"/>
        <w:jc w:val="both"/>
        <w:rPr>
          <w:sz w:val="20"/>
          <w:szCs w:val="20"/>
        </w:rPr>
      </w:pPr>
      <w:r w:rsidRPr="00FE57F1">
        <w:rPr>
          <w:sz w:val="20"/>
          <w:szCs w:val="20"/>
        </w:rPr>
        <w:t>3.</w:t>
      </w:r>
      <w:r w:rsidRPr="00FE57F1">
        <w:rPr>
          <w:sz w:val="20"/>
          <w:szCs w:val="20"/>
        </w:rPr>
        <w:tab/>
        <w:t>МБУ «Спортивная школа олимпийского резерва «Фаворит» (3 отделения: дзюдо; лыжные гонки, тхэквондо).</w:t>
      </w:r>
    </w:p>
    <w:p w:rsidR="00FE57F1" w:rsidRPr="00FE57F1" w:rsidRDefault="00FE57F1" w:rsidP="00FE57F1">
      <w:pPr>
        <w:tabs>
          <w:tab w:val="left" w:pos="993"/>
          <w:tab w:val="left" w:pos="1134"/>
        </w:tabs>
        <w:ind w:firstLine="709"/>
        <w:jc w:val="both"/>
        <w:rPr>
          <w:sz w:val="20"/>
          <w:szCs w:val="20"/>
        </w:rPr>
      </w:pPr>
      <w:r w:rsidRPr="00FE57F1">
        <w:rPr>
          <w:sz w:val="20"/>
          <w:szCs w:val="20"/>
        </w:rPr>
        <w:t>4.</w:t>
      </w:r>
      <w:r w:rsidRPr="00FE57F1">
        <w:rPr>
          <w:sz w:val="20"/>
          <w:szCs w:val="20"/>
        </w:rPr>
        <w:tab/>
        <w:t>МАУ Спортивная школа олимпийского резерва «</w:t>
      </w:r>
      <w:proofErr w:type="spellStart"/>
      <w:r w:rsidRPr="00FE57F1">
        <w:rPr>
          <w:sz w:val="20"/>
          <w:szCs w:val="20"/>
        </w:rPr>
        <w:t>Эжва</w:t>
      </w:r>
      <w:proofErr w:type="spellEnd"/>
      <w:r w:rsidRPr="00FE57F1">
        <w:rPr>
          <w:sz w:val="20"/>
          <w:szCs w:val="20"/>
        </w:rPr>
        <w:t>» (4 отделения: бокс, вольная борьба, тхэквондо, футбол).</w:t>
      </w:r>
    </w:p>
    <w:p w:rsidR="00FE57F1" w:rsidRPr="00FE57F1" w:rsidRDefault="00FE57F1" w:rsidP="00FE57F1">
      <w:pPr>
        <w:tabs>
          <w:tab w:val="left" w:pos="993"/>
          <w:tab w:val="left" w:pos="1134"/>
        </w:tabs>
        <w:ind w:firstLine="709"/>
        <w:jc w:val="both"/>
        <w:rPr>
          <w:sz w:val="20"/>
          <w:szCs w:val="20"/>
        </w:rPr>
      </w:pPr>
      <w:r w:rsidRPr="00FE57F1">
        <w:rPr>
          <w:sz w:val="20"/>
          <w:szCs w:val="20"/>
        </w:rPr>
        <w:lastRenderedPageBreak/>
        <w:t>5.</w:t>
      </w:r>
      <w:r w:rsidRPr="00FE57F1">
        <w:rPr>
          <w:sz w:val="20"/>
          <w:szCs w:val="20"/>
        </w:rPr>
        <w:tab/>
        <w:t>МАУ «Центр спортивных мероприятий г. Сыктывкара».</w:t>
      </w:r>
    </w:p>
    <w:p w:rsidR="00FE57F1" w:rsidRPr="00FE57F1" w:rsidRDefault="00FE57F1" w:rsidP="00FE57F1">
      <w:pPr>
        <w:tabs>
          <w:tab w:val="left" w:pos="993"/>
          <w:tab w:val="left" w:pos="1134"/>
        </w:tabs>
        <w:ind w:firstLine="709"/>
        <w:jc w:val="both"/>
        <w:rPr>
          <w:sz w:val="20"/>
          <w:szCs w:val="20"/>
        </w:rPr>
      </w:pPr>
      <w:r w:rsidRPr="00FE57F1">
        <w:rPr>
          <w:sz w:val="20"/>
          <w:szCs w:val="20"/>
        </w:rPr>
        <w:t>6.</w:t>
      </w:r>
      <w:r w:rsidRPr="00FE57F1">
        <w:rPr>
          <w:sz w:val="20"/>
          <w:szCs w:val="20"/>
        </w:rPr>
        <w:tab/>
        <w:t>МАУ «Дирекция спортивных сооружений».</w:t>
      </w:r>
    </w:p>
    <w:p w:rsidR="00FE57F1" w:rsidRPr="00FE57F1" w:rsidRDefault="00FE57F1" w:rsidP="00FE57F1">
      <w:pPr>
        <w:tabs>
          <w:tab w:val="left" w:pos="993"/>
        </w:tabs>
        <w:ind w:firstLine="709"/>
        <w:jc w:val="both"/>
        <w:rPr>
          <w:sz w:val="20"/>
          <w:szCs w:val="20"/>
        </w:rPr>
      </w:pPr>
      <w:r w:rsidRPr="00FE57F1">
        <w:rPr>
          <w:i/>
          <w:sz w:val="20"/>
          <w:szCs w:val="20"/>
        </w:rPr>
        <w:t xml:space="preserve">Доля </w:t>
      </w:r>
      <w:proofErr w:type="gramStart"/>
      <w:r w:rsidRPr="00FE57F1">
        <w:rPr>
          <w:i/>
          <w:sz w:val="20"/>
          <w:szCs w:val="20"/>
        </w:rPr>
        <w:t>обучающихся</w:t>
      </w:r>
      <w:proofErr w:type="gramEnd"/>
      <w:r w:rsidRPr="00FE57F1">
        <w:rPr>
          <w:i/>
          <w:sz w:val="20"/>
          <w:szCs w:val="20"/>
        </w:rPr>
        <w:t xml:space="preserve">, систематически занимающихся физической культурой и спортом, в общей численности обучающихся </w:t>
      </w:r>
      <w:r w:rsidRPr="00FE57F1">
        <w:rPr>
          <w:sz w:val="20"/>
          <w:szCs w:val="20"/>
        </w:rPr>
        <w:t xml:space="preserve">составила 74%. </w:t>
      </w:r>
    </w:p>
    <w:p w:rsidR="00FE57F1" w:rsidRPr="00FE57F1" w:rsidRDefault="00FE57F1" w:rsidP="00FE57F1">
      <w:pPr>
        <w:tabs>
          <w:tab w:val="left" w:pos="993"/>
        </w:tabs>
        <w:ind w:firstLine="709"/>
        <w:jc w:val="both"/>
        <w:rPr>
          <w:sz w:val="20"/>
          <w:szCs w:val="20"/>
        </w:rPr>
      </w:pPr>
      <w:r w:rsidRPr="00FE57F1">
        <w:rPr>
          <w:sz w:val="20"/>
          <w:szCs w:val="20"/>
        </w:rPr>
        <w:t>Физкультурно-спортивными организациями города в 2022 году по результатам участия спортсменов в соревнованиях присвоено 2612 спортивных разрядов и званий, в т.ч. муниципальными спортивными школами 992, из них:</w:t>
      </w:r>
    </w:p>
    <w:p w:rsidR="00FE57F1" w:rsidRPr="00FE57F1" w:rsidRDefault="00FE57F1" w:rsidP="00FE57F1">
      <w:pPr>
        <w:pStyle w:val="a9"/>
        <w:numPr>
          <w:ilvl w:val="0"/>
          <w:numId w:val="5"/>
        </w:numPr>
        <w:tabs>
          <w:tab w:val="left" w:pos="993"/>
        </w:tabs>
        <w:spacing w:after="0" w:line="240" w:lineRule="auto"/>
        <w:ind w:left="0" w:firstLine="709"/>
        <w:jc w:val="both"/>
        <w:rPr>
          <w:rFonts w:ascii="Times New Roman" w:hAnsi="Times New Roman"/>
          <w:sz w:val="20"/>
          <w:szCs w:val="20"/>
        </w:rPr>
      </w:pPr>
      <w:r w:rsidRPr="00FE57F1">
        <w:rPr>
          <w:rFonts w:ascii="Times New Roman" w:hAnsi="Times New Roman"/>
          <w:sz w:val="20"/>
          <w:szCs w:val="20"/>
        </w:rPr>
        <w:t>Массовые спортивные разряды – 2159, в т.ч. муниципальными спортивными школами - 850;</w:t>
      </w:r>
    </w:p>
    <w:p w:rsidR="00FE57F1" w:rsidRPr="00FE57F1" w:rsidRDefault="00FE57F1" w:rsidP="00FE57F1">
      <w:pPr>
        <w:pStyle w:val="a9"/>
        <w:numPr>
          <w:ilvl w:val="0"/>
          <w:numId w:val="5"/>
        </w:numPr>
        <w:tabs>
          <w:tab w:val="left" w:pos="993"/>
        </w:tabs>
        <w:spacing w:after="0" w:line="240" w:lineRule="auto"/>
        <w:ind w:left="0" w:firstLine="709"/>
        <w:jc w:val="both"/>
        <w:rPr>
          <w:rFonts w:ascii="Times New Roman" w:hAnsi="Times New Roman"/>
          <w:sz w:val="20"/>
          <w:szCs w:val="20"/>
        </w:rPr>
      </w:pPr>
      <w:r w:rsidRPr="00FE57F1">
        <w:rPr>
          <w:rFonts w:ascii="Times New Roman" w:hAnsi="Times New Roman"/>
          <w:sz w:val="20"/>
          <w:szCs w:val="20"/>
        </w:rPr>
        <w:t>Первый разряд – 307, в т.ч. муниципальными спортивными школами -109;</w:t>
      </w:r>
    </w:p>
    <w:p w:rsidR="00FE57F1" w:rsidRPr="00FE57F1" w:rsidRDefault="00FE57F1" w:rsidP="00FE57F1">
      <w:pPr>
        <w:pStyle w:val="a9"/>
        <w:numPr>
          <w:ilvl w:val="0"/>
          <w:numId w:val="5"/>
        </w:numPr>
        <w:tabs>
          <w:tab w:val="left" w:pos="993"/>
        </w:tabs>
        <w:spacing w:after="0" w:line="240" w:lineRule="auto"/>
        <w:ind w:left="0" w:firstLine="709"/>
        <w:jc w:val="both"/>
        <w:rPr>
          <w:rFonts w:ascii="Times New Roman" w:hAnsi="Times New Roman"/>
          <w:sz w:val="20"/>
          <w:szCs w:val="20"/>
        </w:rPr>
      </w:pPr>
      <w:r w:rsidRPr="00FE57F1">
        <w:rPr>
          <w:rFonts w:ascii="Times New Roman" w:hAnsi="Times New Roman"/>
          <w:sz w:val="20"/>
          <w:szCs w:val="20"/>
        </w:rPr>
        <w:t>Кандидаты в мастера спорта – 131 , в т.ч. муниципальными спортивными школами - 34;</w:t>
      </w:r>
    </w:p>
    <w:p w:rsidR="00FE57F1" w:rsidRPr="00FE57F1" w:rsidRDefault="00FE57F1" w:rsidP="00FE57F1">
      <w:pPr>
        <w:pStyle w:val="a9"/>
        <w:numPr>
          <w:ilvl w:val="0"/>
          <w:numId w:val="5"/>
        </w:numPr>
        <w:tabs>
          <w:tab w:val="left" w:pos="993"/>
        </w:tabs>
        <w:spacing w:after="0" w:line="240" w:lineRule="auto"/>
        <w:ind w:left="0" w:firstLine="709"/>
        <w:jc w:val="both"/>
        <w:rPr>
          <w:rFonts w:ascii="Times New Roman" w:hAnsi="Times New Roman"/>
          <w:sz w:val="20"/>
          <w:szCs w:val="20"/>
        </w:rPr>
      </w:pPr>
      <w:r w:rsidRPr="00FE57F1">
        <w:rPr>
          <w:rFonts w:ascii="Times New Roman" w:hAnsi="Times New Roman"/>
          <w:sz w:val="20"/>
          <w:szCs w:val="20"/>
        </w:rPr>
        <w:t>Мастер спорта России – 15, в т.ч. муниципальными спортивными школами - 7;</w:t>
      </w:r>
    </w:p>
    <w:p w:rsidR="00FE57F1" w:rsidRPr="00FE57F1" w:rsidRDefault="00FE57F1" w:rsidP="00FE57F1">
      <w:pPr>
        <w:tabs>
          <w:tab w:val="left" w:pos="993"/>
        </w:tabs>
        <w:ind w:firstLine="709"/>
        <w:jc w:val="both"/>
        <w:rPr>
          <w:sz w:val="20"/>
          <w:szCs w:val="20"/>
        </w:rPr>
      </w:pPr>
      <w:r w:rsidRPr="00FE57F1">
        <w:rPr>
          <w:sz w:val="20"/>
          <w:szCs w:val="20"/>
        </w:rPr>
        <w:t>За 2022 год в городе Сыктывкаре было проведено 288 муниципальных физкультурных и спортивных мероприятий (количество участников 45 464 человек), обеспечено участие спортивных сборных команд города Сыктывкара в 41 спортивном  мероприятии (количество участников 689 человек, из них 620 спортсменов, 69 представителей).</w:t>
      </w:r>
    </w:p>
    <w:p w:rsidR="00FE57F1" w:rsidRPr="00FE57F1" w:rsidRDefault="00FE57F1" w:rsidP="00FE57F1">
      <w:pPr>
        <w:tabs>
          <w:tab w:val="left" w:pos="993"/>
        </w:tabs>
        <w:ind w:firstLine="709"/>
        <w:jc w:val="both"/>
        <w:rPr>
          <w:sz w:val="20"/>
          <w:szCs w:val="20"/>
        </w:rPr>
      </w:pPr>
      <w:r w:rsidRPr="00FE57F1">
        <w:rPr>
          <w:sz w:val="20"/>
          <w:szCs w:val="20"/>
        </w:rPr>
        <w:t>Общее количество проведенных в 2022 году физкультурных и спортивных мероприятий по оценке выполнения нормативов испытаний (тестов) комплекса ГТО составило – 106 с общим охватом 4137 человек.</w:t>
      </w:r>
    </w:p>
    <w:p w:rsidR="00FE57F1" w:rsidRPr="00FE57F1" w:rsidRDefault="00FE57F1" w:rsidP="00FE57F1">
      <w:pPr>
        <w:autoSpaceDE w:val="0"/>
        <w:autoSpaceDN w:val="0"/>
        <w:adjustRightInd w:val="0"/>
        <w:ind w:firstLine="567"/>
        <w:jc w:val="both"/>
        <w:rPr>
          <w:bCs/>
          <w:sz w:val="20"/>
          <w:szCs w:val="20"/>
        </w:rPr>
      </w:pPr>
      <w:r w:rsidRPr="00FE57F1">
        <w:rPr>
          <w:bCs/>
          <w:sz w:val="20"/>
          <w:szCs w:val="20"/>
        </w:rPr>
        <w:t>Значимыми проектами отрасли физической культуры и спорта, реализованными на территории г. Сыктывкара в 2022 году являются:</w:t>
      </w:r>
    </w:p>
    <w:p w:rsidR="00FE57F1" w:rsidRPr="00FE57F1" w:rsidRDefault="00FE57F1" w:rsidP="00FE57F1">
      <w:pPr>
        <w:pStyle w:val="a9"/>
        <w:numPr>
          <w:ilvl w:val="0"/>
          <w:numId w:val="6"/>
        </w:numPr>
        <w:tabs>
          <w:tab w:val="left" w:pos="851"/>
        </w:tabs>
        <w:autoSpaceDE w:val="0"/>
        <w:autoSpaceDN w:val="0"/>
        <w:adjustRightInd w:val="0"/>
        <w:spacing w:after="0" w:line="240" w:lineRule="auto"/>
        <w:ind w:left="0" w:firstLine="709"/>
        <w:jc w:val="both"/>
        <w:rPr>
          <w:rFonts w:ascii="Times New Roman" w:hAnsi="Times New Roman"/>
          <w:bCs/>
          <w:sz w:val="20"/>
          <w:szCs w:val="20"/>
        </w:rPr>
      </w:pPr>
      <w:proofErr w:type="gramStart"/>
      <w:r w:rsidRPr="00FE57F1">
        <w:rPr>
          <w:rFonts w:ascii="Times New Roman" w:hAnsi="Times New Roman"/>
          <w:bCs/>
          <w:sz w:val="20"/>
          <w:szCs w:val="20"/>
        </w:rPr>
        <w:t xml:space="preserve">Модернизация стадиона в </w:t>
      </w:r>
      <w:proofErr w:type="spellStart"/>
      <w:r w:rsidRPr="00FE57F1">
        <w:rPr>
          <w:rFonts w:ascii="Times New Roman" w:hAnsi="Times New Roman"/>
          <w:bCs/>
          <w:sz w:val="20"/>
          <w:szCs w:val="20"/>
        </w:rPr>
        <w:t>пгт</w:t>
      </w:r>
      <w:proofErr w:type="spellEnd"/>
      <w:r w:rsidRPr="00FE57F1">
        <w:rPr>
          <w:rFonts w:ascii="Times New Roman" w:hAnsi="Times New Roman"/>
          <w:bCs/>
          <w:sz w:val="20"/>
          <w:szCs w:val="20"/>
        </w:rPr>
        <w:t xml:space="preserve"> Краснозатонский в рамках </w:t>
      </w:r>
      <w:r w:rsidRPr="00FE57F1">
        <w:rPr>
          <w:rFonts w:ascii="Times New Roman" w:hAnsi="Times New Roman"/>
          <w:sz w:val="20"/>
          <w:szCs w:val="20"/>
        </w:rPr>
        <w:t>федерального проекта «Бизнес спринт (Я выбираю спорт)»</w:t>
      </w:r>
      <w:r w:rsidRPr="00FE57F1">
        <w:rPr>
          <w:rFonts w:ascii="Times New Roman" w:hAnsi="Times New Roman"/>
          <w:color w:val="000000"/>
          <w:sz w:val="20"/>
          <w:szCs w:val="20"/>
        </w:rPr>
        <w:t xml:space="preserve"> (создана "Умная площадка", выделено из вышестоящих бюджетов 36 475,9 тыс. рублей, из местного бюджета выделено 14 487,8 тыс. рублей на подготовку основания.</w:t>
      </w:r>
      <w:proofErr w:type="gramEnd"/>
      <w:r w:rsidRPr="00FE57F1">
        <w:rPr>
          <w:rFonts w:ascii="Times New Roman" w:hAnsi="Times New Roman"/>
          <w:color w:val="000000"/>
          <w:sz w:val="20"/>
          <w:szCs w:val="20"/>
        </w:rPr>
        <w:t xml:space="preserve"> </w:t>
      </w:r>
      <w:proofErr w:type="gramStart"/>
      <w:r w:rsidRPr="00FE57F1">
        <w:rPr>
          <w:rFonts w:ascii="Times New Roman" w:hAnsi="Times New Roman"/>
          <w:color w:val="000000"/>
          <w:sz w:val="20"/>
          <w:szCs w:val="20"/>
        </w:rPr>
        <w:t>Обустроены</w:t>
      </w:r>
      <w:r w:rsidRPr="00FE57F1">
        <w:rPr>
          <w:rFonts w:ascii="Times New Roman" w:hAnsi="Times New Roman"/>
          <w:sz w:val="20"/>
          <w:szCs w:val="20"/>
        </w:rPr>
        <w:t xml:space="preserve"> круговая беговая дорожка, новый хоккейный корт, универсальные игровые площадки, трибуны на 100 мест, турниковый комплекс).</w:t>
      </w:r>
      <w:proofErr w:type="gramEnd"/>
      <w:r w:rsidRPr="00FE57F1">
        <w:rPr>
          <w:rFonts w:ascii="Times New Roman" w:hAnsi="Times New Roman"/>
          <w:sz w:val="20"/>
          <w:szCs w:val="20"/>
        </w:rPr>
        <w:t xml:space="preserve"> </w:t>
      </w:r>
      <w:proofErr w:type="gramStart"/>
      <w:r w:rsidRPr="00FE57F1">
        <w:rPr>
          <w:rFonts w:ascii="Times New Roman" w:hAnsi="Times New Roman"/>
          <w:sz w:val="20"/>
          <w:szCs w:val="20"/>
        </w:rPr>
        <w:t>В перспективе на стадионе необходимо оборудовать места для переодевания и хранения инвентаря, а также постелить покрытие на футбольное поле).</w:t>
      </w:r>
      <w:proofErr w:type="gramEnd"/>
    </w:p>
    <w:p w:rsidR="00FE57F1" w:rsidRPr="00FE57F1" w:rsidRDefault="00FE57F1" w:rsidP="00FE57F1">
      <w:pPr>
        <w:pStyle w:val="a9"/>
        <w:numPr>
          <w:ilvl w:val="0"/>
          <w:numId w:val="6"/>
        </w:numPr>
        <w:tabs>
          <w:tab w:val="left" w:pos="851"/>
        </w:tabs>
        <w:autoSpaceDE w:val="0"/>
        <w:autoSpaceDN w:val="0"/>
        <w:adjustRightInd w:val="0"/>
        <w:spacing w:after="0" w:line="240" w:lineRule="auto"/>
        <w:ind w:left="0" w:firstLine="709"/>
        <w:jc w:val="both"/>
        <w:rPr>
          <w:rFonts w:ascii="Times New Roman" w:hAnsi="Times New Roman"/>
          <w:bCs/>
          <w:sz w:val="20"/>
          <w:szCs w:val="20"/>
        </w:rPr>
      </w:pPr>
      <w:r w:rsidRPr="00FE57F1">
        <w:rPr>
          <w:rFonts w:ascii="Times New Roman" w:hAnsi="Times New Roman"/>
          <w:bCs/>
          <w:sz w:val="20"/>
          <w:szCs w:val="20"/>
        </w:rPr>
        <w:t xml:space="preserve">Заключено соглашение с Министерством физической культуры и спорта Республики Коми о строительстве в 2023-2024 </w:t>
      </w:r>
      <w:proofErr w:type="spellStart"/>
      <w:proofErr w:type="gramStart"/>
      <w:r w:rsidRPr="00FE57F1">
        <w:rPr>
          <w:rFonts w:ascii="Times New Roman" w:hAnsi="Times New Roman"/>
          <w:bCs/>
          <w:sz w:val="20"/>
          <w:szCs w:val="20"/>
        </w:rPr>
        <w:t>гг</w:t>
      </w:r>
      <w:proofErr w:type="spellEnd"/>
      <w:proofErr w:type="gramEnd"/>
      <w:r w:rsidRPr="00FE57F1">
        <w:rPr>
          <w:rFonts w:ascii="Times New Roman" w:hAnsi="Times New Roman"/>
          <w:bCs/>
          <w:sz w:val="20"/>
          <w:szCs w:val="20"/>
        </w:rPr>
        <w:t xml:space="preserve"> лыжной базы по ул. Лесопарковая, объект включён в адресную инвестиционную программу Республики Коми.</w:t>
      </w:r>
    </w:p>
    <w:p w:rsidR="00FE57F1" w:rsidRPr="00FE57F1" w:rsidRDefault="00FE57F1" w:rsidP="00FE57F1">
      <w:pPr>
        <w:pStyle w:val="a9"/>
        <w:numPr>
          <w:ilvl w:val="0"/>
          <w:numId w:val="6"/>
        </w:numPr>
        <w:tabs>
          <w:tab w:val="left" w:pos="851"/>
        </w:tabs>
        <w:autoSpaceDE w:val="0"/>
        <w:autoSpaceDN w:val="0"/>
        <w:adjustRightInd w:val="0"/>
        <w:spacing w:after="0" w:line="240" w:lineRule="auto"/>
        <w:ind w:left="0" w:firstLine="709"/>
        <w:jc w:val="both"/>
        <w:rPr>
          <w:rFonts w:ascii="Times New Roman" w:hAnsi="Times New Roman"/>
          <w:bCs/>
          <w:sz w:val="20"/>
          <w:szCs w:val="20"/>
        </w:rPr>
      </w:pPr>
      <w:r w:rsidRPr="00FE57F1">
        <w:rPr>
          <w:rFonts w:ascii="Times New Roman" w:hAnsi="Times New Roman"/>
          <w:bCs/>
          <w:sz w:val="20"/>
          <w:szCs w:val="20"/>
        </w:rPr>
        <w:t>В рамках реализации отдельных мероприятий регионального проекта «Спорт-норма жизни» приобретен спортивный инвентарь для реализации программ спортивной подготовки для спортивных школ олимпийского резерва: «Фаворит», «</w:t>
      </w:r>
      <w:proofErr w:type="spellStart"/>
      <w:r w:rsidRPr="00FE57F1">
        <w:rPr>
          <w:rFonts w:ascii="Times New Roman" w:hAnsi="Times New Roman"/>
          <w:bCs/>
          <w:sz w:val="20"/>
          <w:szCs w:val="20"/>
        </w:rPr>
        <w:t>Эжва</w:t>
      </w:r>
      <w:proofErr w:type="spellEnd"/>
      <w:r w:rsidRPr="00FE57F1">
        <w:rPr>
          <w:rFonts w:ascii="Times New Roman" w:hAnsi="Times New Roman"/>
          <w:bCs/>
          <w:sz w:val="20"/>
          <w:szCs w:val="20"/>
        </w:rPr>
        <w:t>», «Северная Олимпия».</w:t>
      </w:r>
    </w:p>
    <w:p w:rsidR="00FE57F1" w:rsidRPr="00FE57F1" w:rsidRDefault="00FE57F1" w:rsidP="00FE57F1">
      <w:pPr>
        <w:pStyle w:val="a9"/>
        <w:numPr>
          <w:ilvl w:val="0"/>
          <w:numId w:val="6"/>
        </w:numPr>
        <w:tabs>
          <w:tab w:val="left" w:pos="851"/>
        </w:tabs>
        <w:autoSpaceDE w:val="0"/>
        <w:autoSpaceDN w:val="0"/>
        <w:adjustRightInd w:val="0"/>
        <w:spacing w:after="0" w:line="240" w:lineRule="auto"/>
        <w:ind w:left="0" w:firstLine="709"/>
        <w:jc w:val="both"/>
        <w:rPr>
          <w:rFonts w:ascii="Times New Roman" w:hAnsi="Times New Roman"/>
          <w:bCs/>
          <w:sz w:val="20"/>
          <w:szCs w:val="20"/>
        </w:rPr>
      </w:pPr>
      <w:r w:rsidRPr="00FE57F1">
        <w:rPr>
          <w:rFonts w:ascii="Times New Roman" w:hAnsi="Times New Roman"/>
          <w:bCs/>
          <w:sz w:val="20"/>
          <w:szCs w:val="20"/>
        </w:rPr>
        <w:t>Увеличено количество заливаемых уличных ледовых катков с 18 до 21; осуществляется подготовка 8 лыжных трасс общей протяженностью более 70 км.</w:t>
      </w:r>
    </w:p>
    <w:p w:rsidR="00FE57F1" w:rsidRPr="00FE57F1" w:rsidRDefault="00FE57F1" w:rsidP="00FE57F1">
      <w:pPr>
        <w:pStyle w:val="a9"/>
        <w:numPr>
          <w:ilvl w:val="0"/>
          <w:numId w:val="6"/>
        </w:numPr>
        <w:tabs>
          <w:tab w:val="left" w:pos="851"/>
        </w:tabs>
        <w:autoSpaceDE w:val="0"/>
        <w:autoSpaceDN w:val="0"/>
        <w:adjustRightInd w:val="0"/>
        <w:spacing w:after="0" w:line="240" w:lineRule="auto"/>
        <w:ind w:left="0" w:firstLine="709"/>
        <w:jc w:val="both"/>
        <w:rPr>
          <w:rFonts w:ascii="Times New Roman" w:hAnsi="Times New Roman"/>
          <w:bCs/>
          <w:sz w:val="20"/>
          <w:szCs w:val="20"/>
        </w:rPr>
      </w:pPr>
      <w:r w:rsidRPr="00FE57F1">
        <w:rPr>
          <w:rFonts w:ascii="Times New Roman" w:hAnsi="Times New Roman"/>
          <w:bCs/>
          <w:sz w:val="20"/>
          <w:szCs w:val="20"/>
        </w:rPr>
        <w:t>Внедрено в практику проведение открытых тренировок для населения города на дворовых площадках (по итогам 2022 года более 25,0 тыс. человеко-посещений).</w:t>
      </w:r>
    </w:p>
    <w:p w:rsidR="000C6017" w:rsidRPr="00FE57F1" w:rsidRDefault="000C6017" w:rsidP="000C6017">
      <w:pPr>
        <w:widowControl w:val="0"/>
        <w:suppressAutoHyphens/>
        <w:autoSpaceDE w:val="0"/>
        <w:spacing w:line="276" w:lineRule="auto"/>
        <w:ind w:firstLine="426"/>
        <w:jc w:val="both"/>
        <w:rPr>
          <w:rFonts w:eastAsia="Times New Roman"/>
          <w:sz w:val="20"/>
          <w:szCs w:val="20"/>
          <w:highlight w:val="yellow"/>
          <w:lang w:eastAsia="ar-SA"/>
        </w:rPr>
      </w:pPr>
    </w:p>
    <w:p w:rsidR="000C6017" w:rsidRPr="00FE57F1" w:rsidRDefault="000C6017" w:rsidP="000C6017">
      <w:pPr>
        <w:jc w:val="center"/>
        <w:outlineLvl w:val="0"/>
        <w:rPr>
          <w:b/>
          <w:sz w:val="20"/>
          <w:szCs w:val="20"/>
        </w:rPr>
      </w:pPr>
      <w:r w:rsidRPr="00FE57F1">
        <w:rPr>
          <w:b/>
          <w:sz w:val="20"/>
          <w:szCs w:val="20"/>
        </w:rPr>
        <w:t>6. Жилищное строительство и обеспечение граждан жильем</w:t>
      </w:r>
    </w:p>
    <w:p w:rsidR="000C6017" w:rsidRPr="00FE57F1" w:rsidRDefault="000C6017" w:rsidP="000C6017">
      <w:pPr>
        <w:autoSpaceDE w:val="0"/>
        <w:autoSpaceDN w:val="0"/>
        <w:adjustRightInd w:val="0"/>
        <w:ind w:firstLine="567"/>
        <w:jc w:val="both"/>
        <w:rPr>
          <w:sz w:val="20"/>
          <w:szCs w:val="20"/>
          <w:highlight w:val="yellow"/>
        </w:rPr>
      </w:pPr>
    </w:p>
    <w:p w:rsidR="00FE57F1" w:rsidRPr="00FE57F1" w:rsidRDefault="00FE57F1" w:rsidP="00FE57F1">
      <w:pPr>
        <w:autoSpaceDE w:val="0"/>
        <w:autoSpaceDN w:val="0"/>
        <w:adjustRightInd w:val="0"/>
        <w:ind w:firstLine="567"/>
        <w:jc w:val="both"/>
        <w:rPr>
          <w:sz w:val="20"/>
          <w:szCs w:val="20"/>
        </w:rPr>
      </w:pPr>
      <w:r w:rsidRPr="00FE57F1">
        <w:rPr>
          <w:sz w:val="20"/>
          <w:szCs w:val="20"/>
        </w:rPr>
        <w:t>Жилищное строительство, его темпы являются одной из составляющих экономики и залогом стабильной социальной жизни.</w:t>
      </w:r>
    </w:p>
    <w:p w:rsidR="00FE57F1" w:rsidRPr="00FE57F1" w:rsidRDefault="00FE57F1" w:rsidP="00FE57F1">
      <w:pPr>
        <w:pBdr>
          <w:top w:val="nil"/>
          <w:left w:val="nil"/>
          <w:bottom w:val="nil"/>
          <w:right w:val="nil"/>
          <w:between w:val="nil"/>
        </w:pBdr>
        <w:tabs>
          <w:tab w:val="left" w:pos="709"/>
        </w:tabs>
        <w:ind w:firstLine="709"/>
        <w:jc w:val="both"/>
        <w:rPr>
          <w:sz w:val="20"/>
          <w:szCs w:val="20"/>
          <w:highlight w:val="yellow"/>
        </w:rPr>
      </w:pPr>
      <w:r w:rsidRPr="00FE57F1">
        <w:rPr>
          <w:sz w:val="20"/>
          <w:szCs w:val="20"/>
        </w:rPr>
        <w:t xml:space="preserve">За 2022 год крупными и средними организациями выполнен объем работ по виду деятельности «Строительство» на 2 722,4 млн. руб., что на 12,4% больше, чем за 2021 год. </w:t>
      </w:r>
    </w:p>
    <w:p w:rsidR="00FE57F1" w:rsidRPr="00FE57F1" w:rsidRDefault="00FE57F1" w:rsidP="00FE57F1">
      <w:pPr>
        <w:widowControl w:val="0"/>
        <w:suppressAutoHyphens/>
        <w:ind w:right="-7" w:firstLine="709"/>
        <w:jc w:val="both"/>
        <w:rPr>
          <w:sz w:val="20"/>
          <w:szCs w:val="20"/>
        </w:rPr>
      </w:pPr>
      <w:r w:rsidRPr="00FE57F1">
        <w:rPr>
          <w:sz w:val="20"/>
          <w:szCs w:val="20"/>
        </w:rPr>
        <w:t>На территории МО ГО «Сыктывкар» в 2022 году за счет всех источников финансирования введено:</w:t>
      </w:r>
    </w:p>
    <w:p w:rsidR="00FE57F1" w:rsidRPr="00FE57F1" w:rsidRDefault="00FE57F1" w:rsidP="00FE57F1">
      <w:pPr>
        <w:widowControl w:val="0"/>
        <w:suppressAutoHyphens/>
        <w:ind w:right="-7" w:firstLine="709"/>
        <w:jc w:val="both"/>
        <w:rPr>
          <w:sz w:val="20"/>
          <w:szCs w:val="20"/>
        </w:rPr>
      </w:pPr>
      <w:r w:rsidRPr="00FE57F1">
        <w:rPr>
          <w:sz w:val="20"/>
          <w:szCs w:val="20"/>
        </w:rPr>
        <w:t>- 117 343 кв. м общей площади жилых помещений (что на 12,3% больше, чем в 2021 г.), в том числе построенных населением – 48 315 кв. м общей площади жилья (что на 17,4% больше, чем в 2021г.).</w:t>
      </w:r>
    </w:p>
    <w:p w:rsidR="00FE57F1" w:rsidRPr="00FE57F1" w:rsidRDefault="00FE57F1" w:rsidP="00FE57F1">
      <w:pPr>
        <w:widowControl w:val="0"/>
        <w:suppressAutoHyphens/>
        <w:ind w:right="-7" w:firstLine="709"/>
        <w:jc w:val="both"/>
        <w:rPr>
          <w:sz w:val="20"/>
          <w:szCs w:val="20"/>
        </w:rPr>
      </w:pPr>
      <w:r w:rsidRPr="00FE57F1">
        <w:rPr>
          <w:sz w:val="20"/>
          <w:szCs w:val="20"/>
        </w:rPr>
        <w:t>Во введенных жилых домах в 2022 году введено 1 776 квартир, что на 9,2% больше, чем в 2021 году,  в том числе построенных населением – 373 квартиры (на 14,1% больше, чем в предыдущем году).</w:t>
      </w:r>
    </w:p>
    <w:p w:rsidR="00FE57F1" w:rsidRPr="00FE57F1" w:rsidRDefault="00FE57F1" w:rsidP="00FE57F1">
      <w:pPr>
        <w:pBdr>
          <w:top w:val="nil"/>
          <w:left w:val="nil"/>
          <w:bottom w:val="nil"/>
          <w:right w:val="nil"/>
          <w:between w:val="nil"/>
        </w:pBdr>
        <w:ind w:firstLine="709"/>
        <w:jc w:val="both"/>
        <w:rPr>
          <w:sz w:val="20"/>
          <w:szCs w:val="20"/>
        </w:rPr>
      </w:pPr>
      <w:r w:rsidRPr="00FE57F1">
        <w:rPr>
          <w:sz w:val="20"/>
          <w:szCs w:val="20"/>
        </w:rPr>
        <w:t xml:space="preserve">Ввод жилой площади напрямую зависит от наличия земельных ресурсов, а также количества выданных разрешений на строительство. За 2022 г. выдано 45 разрешений на строительство объектов капитального строительства, выдано 59 разрешения на ввод объектов капитального строительства в эксплуатацию, уведомлений о планируемом строительстве объекта индивидуального жилищного строительства - 231, уведомлений о построенном объекте индивидуального жилищного строительства – 23. </w:t>
      </w:r>
    </w:p>
    <w:p w:rsidR="00FE57F1" w:rsidRPr="00FE57F1" w:rsidRDefault="00FE57F1" w:rsidP="00FE57F1">
      <w:pPr>
        <w:tabs>
          <w:tab w:val="left" w:pos="709"/>
        </w:tabs>
        <w:ind w:right="-1" w:firstLine="567"/>
        <w:jc w:val="both"/>
        <w:rPr>
          <w:sz w:val="20"/>
          <w:szCs w:val="20"/>
        </w:rPr>
      </w:pPr>
      <w:r w:rsidRPr="00FE57F1">
        <w:rPr>
          <w:sz w:val="20"/>
          <w:szCs w:val="20"/>
        </w:rPr>
        <w:t xml:space="preserve">По итогам 2022 года </w:t>
      </w:r>
      <w:r w:rsidRPr="00FE57F1">
        <w:rPr>
          <w:i/>
          <w:sz w:val="20"/>
          <w:szCs w:val="20"/>
        </w:rPr>
        <w:t>общая площадь жилых помещений, приходящаяся в среднем на одного жителя,</w:t>
      </w:r>
      <w:r w:rsidRPr="00FE57F1">
        <w:rPr>
          <w:sz w:val="20"/>
          <w:szCs w:val="20"/>
        </w:rPr>
        <w:t xml:space="preserve"> составила 28,9 кв.м., что на 0,4% выше показателя 2021 года. </w:t>
      </w:r>
      <w:r w:rsidR="00C05295">
        <w:rPr>
          <w:sz w:val="20"/>
          <w:szCs w:val="20"/>
        </w:rPr>
        <w:t xml:space="preserve"> </w:t>
      </w:r>
    </w:p>
    <w:p w:rsidR="00FE57F1" w:rsidRPr="00FE57F1" w:rsidRDefault="00FE57F1" w:rsidP="00FE57F1">
      <w:pPr>
        <w:tabs>
          <w:tab w:val="left" w:pos="709"/>
        </w:tabs>
        <w:ind w:right="-1" w:firstLine="567"/>
        <w:jc w:val="both"/>
        <w:rPr>
          <w:iCs/>
          <w:sz w:val="20"/>
          <w:szCs w:val="20"/>
        </w:rPr>
      </w:pPr>
      <w:r w:rsidRPr="00FE57F1">
        <w:rPr>
          <w:sz w:val="20"/>
          <w:szCs w:val="20"/>
        </w:rPr>
        <w:t>По показателю «</w:t>
      </w:r>
      <w:r w:rsidRPr="00FE57F1">
        <w:rPr>
          <w:i/>
          <w:sz w:val="20"/>
          <w:szCs w:val="20"/>
        </w:rPr>
        <w:t>Площадь земельных участков, предоставленных для строительства в расчете на 10 тыс. человек населения</w:t>
      </w:r>
      <w:r w:rsidRPr="00FE57F1">
        <w:rPr>
          <w:sz w:val="20"/>
          <w:szCs w:val="20"/>
        </w:rPr>
        <w:t xml:space="preserve">»: </w:t>
      </w:r>
      <w:r w:rsidRPr="00FE57F1">
        <w:rPr>
          <w:iCs/>
          <w:sz w:val="20"/>
          <w:szCs w:val="20"/>
        </w:rPr>
        <w:t>Исполнение мероприятия осуществляется в соответствии с утвержденным планом предоставления земельных участков, выдачи разрешений на строительство -  с учетом имеющихся земельных ресурсов муниципалитета. За отчетный год расчет произведен в соответствии с достигнутыми показателями: общая площадь ЗУ, предоставленных для строительства, составила 15,0 Га; в целях ИЖС – 2 Га.</w:t>
      </w:r>
      <w:r w:rsidRPr="00FE57F1">
        <w:rPr>
          <w:sz w:val="20"/>
          <w:szCs w:val="20"/>
        </w:rPr>
        <w:t xml:space="preserve"> </w:t>
      </w:r>
      <w:r w:rsidR="00C05295">
        <w:rPr>
          <w:iCs/>
          <w:sz w:val="20"/>
          <w:szCs w:val="20"/>
        </w:rPr>
        <w:t xml:space="preserve"> </w:t>
      </w:r>
    </w:p>
    <w:p w:rsidR="00FE57F1" w:rsidRPr="00FE57F1" w:rsidRDefault="00FE57F1" w:rsidP="00FE57F1">
      <w:pPr>
        <w:tabs>
          <w:tab w:val="left" w:pos="709"/>
        </w:tabs>
        <w:ind w:right="-1" w:firstLine="567"/>
        <w:jc w:val="both"/>
        <w:rPr>
          <w:sz w:val="20"/>
          <w:szCs w:val="20"/>
        </w:rPr>
      </w:pPr>
      <w:proofErr w:type="gramStart"/>
      <w:r w:rsidRPr="00FE57F1">
        <w:rPr>
          <w:iCs/>
          <w:sz w:val="20"/>
          <w:szCs w:val="20"/>
        </w:rPr>
        <w:t>Значение показателя «</w:t>
      </w:r>
      <w:r w:rsidRPr="00FE57F1">
        <w:rPr>
          <w:i/>
          <w:iCs/>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FE57F1">
        <w:rPr>
          <w:iCs/>
          <w:sz w:val="20"/>
          <w:szCs w:val="20"/>
        </w:rPr>
        <w:t>» объектов жилищного строительства - в течение 3х лет составило 75,2 тыс. кв. метров, иных объектов капитального строительства - в течение 5 лет составило 380 тыс. кв. метров</w:t>
      </w:r>
      <w:proofErr w:type="gramEnd"/>
      <w:r w:rsidRPr="00FE57F1">
        <w:rPr>
          <w:iCs/>
          <w:sz w:val="20"/>
          <w:szCs w:val="20"/>
        </w:rPr>
        <w:t xml:space="preserve">. </w:t>
      </w:r>
      <w:proofErr w:type="gramStart"/>
      <w:r w:rsidRPr="00FE57F1">
        <w:rPr>
          <w:iCs/>
          <w:sz w:val="20"/>
          <w:szCs w:val="20"/>
        </w:rPr>
        <w:t xml:space="preserve">Основными причинами возникновения земельных участков, в отношении которых с момента предоставления в течение 5 лет не получено разрешение на ввод в эксплуатацию, являются: отсутствие источников финансирования у застройщиков, высокие проценты по </w:t>
      </w:r>
      <w:r w:rsidRPr="00FE57F1">
        <w:rPr>
          <w:iCs/>
          <w:sz w:val="20"/>
          <w:szCs w:val="20"/>
        </w:rPr>
        <w:lastRenderedPageBreak/>
        <w:t xml:space="preserve">банковским кредитам, сложившаяся судебная практика в пользу предпринимателей и физических лиц в отношении земельных участков, подлежащих изъятию в связи с </w:t>
      </w:r>
      <w:proofErr w:type="spellStart"/>
      <w:r w:rsidRPr="00FE57F1">
        <w:rPr>
          <w:iCs/>
          <w:sz w:val="20"/>
          <w:szCs w:val="20"/>
        </w:rPr>
        <w:t>неосвоением</w:t>
      </w:r>
      <w:proofErr w:type="spellEnd"/>
      <w:r w:rsidRPr="00FE57F1">
        <w:rPr>
          <w:iCs/>
          <w:sz w:val="20"/>
          <w:szCs w:val="20"/>
        </w:rPr>
        <w:t>.</w:t>
      </w:r>
      <w:proofErr w:type="gramEnd"/>
    </w:p>
    <w:p w:rsidR="00FE57F1" w:rsidRPr="00FE57F1" w:rsidRDefault="00FE57F1" w:rsidP="00FE57F1">
      <w:pPr>
        <w:tabs>
          <w:tab w:val="left" w:pos="709"/>
        </w:tabs>
        <w:ind w:right="-1" w:firstLine="567"/>
        <w:jc w:val="both"/>
        <w:rPr>
          <w:sz w:val="20"/>
          <w:szCs w:val="20"/>
        </w:rPr>
      </w:pPr>
      <w:r w:rsidRPr="00FE57F1">
        <w:rPr>
          <w:sz w:val="20"/>
          <w:szCs w:val="20"/>
        </w:rPr>
        <w:t xml:space="preserve">Одним из положительных факторов, влияющих на развитие строительной отрасли, является наличие нормативно-правовых актов в области градостроительства: </w:t>
      </w:r>
    </w:p>
    <w:p w:rsidR="00FE57F1" w:rsidRPr="00FE57F1" w:rsidRDefault="00FE57F1" w:rsidP="00FE57F1">
      <w:pPr>
        <w:ind w:firstLine="567"/>
        <w:jc w:val="both"/>
        <w:rPr>
          <w:sz w:val="20"/>
          <w:szCs w:val="20"/>
        </w:rPr>
      </w:pPr>
      <w:r w:rsidRPr="00FE57F1">
        <w:rPr>
          <w:sz w:val="20"/>
          <w:szCs w:val="20"/>
        </w:rPr>
        <w:t>- Генеральный план МО ГО «Сыктывкар», утвержденный решением Совета МО ГО «Сыктывкар» от 11.12.2009 № 26/12-482;</w:t>
      </w:r>
    </w:p>
    <w:p w:rsidR="00FE57F1" w:rsidRPr="00FE57F1" w:rsidRDefault="00FE57F1" w:rsidP="00FE57F1">
      <w:pPr>
        <w:ind w:firstLine="567"/>
        <w:jc w:val="both"/>
        <w:rPr>
          <w:sz w:val="20"/>
          <w:szCs w:val="20"/>
        </w:rPr>
      </w:pPr>
      <w:r w:rsidRPr="00FE57F1">
        <w:rPr>
          <w:sz w:val="20"/>
          <w:szCs w:val="20"/>
        </w:rPr>
        <w:t>- Правила землепользования и застройки МО ГО «Сыктывкар» утвержденные решением Совета МО ГО «Сыктывкар» от 30.04.2010 №31/04-560.</w:t>
      </w:r>
    </w:p>
    <w:p w:rsidR="00BD602E" w:rsidRPr="00744CE3" w:rsidRDefault="00BD602E" w:rsidP="00774EBE">
      <w:pPr>
        <w:ind w:firstLine="567"/>
        <w:jc w:val="both"/>
        <w:rPr>
          <w:sz w:val="20"/>
          <w:szCs w:val="20"/>
        </w:rPr>
      </w:pPr>
      <w:proofErr w:type="gramStart"/>
      <w:r w:rsidRPr="00744CE3">
        <w:rPr>
          <w:sz w:val="20"/>
          <w:szCs w:val="20"/>
        </w:rPr>
        <w:t>Н</w:t>
      </w:r>
      <w:r w:rsidR="00593560" w:rsidRPr="00744CE3">
        <w:rPr>
          <w:sz w:val="20"/>
          <w:szCs w:val="20"/>
        </w:rPr>
        <w:t>а</w:t>
      </w:r>
      <w:r w:rsidRPr="00744CE3">
        <w:rPr>
          <w:sz w:val="20"/>
          <w:szCs w:val="20"/>
        </w:rPr>
        <w:t xml:space="preserve"> конец</w:t>
      </w:r>
      <w:proofErr w:type="gramEnd"/>
      <w:r w:rsidR="00593560" w:rsidRPr="00744CE3">
        <w:rPr>
          <w:sz w:val="20"/>
          <w:szCs w:val="20"/>
        </w:rPr>
        <w:t xml:space="preserve"> 202</w:t>
      </w:r>
      <w:r w:rsidR="00FE57F1" w:rsidRPr="00744CE3">
        <w:rPr>
          <w:sz w:val="20"/>
          <w:szCs w:val="20"/>
        </w:rPr>
        <w:t>2</w:t>
      </w:r>
      <w:r w:rsidR="00593560" w:rsidRPr="00744CE3">
        <w:rPr>
          <w:sz w:val="20"/>
          <w:szCs w:val="20"/>
        </w:rPr>
        <w:t xml:space="preserve"> год</w:t>
      </w:r>
      <w:r w:rsidRPr="00744CE3">
        <w:rPr>
          <w:sz w:val="20"/>
          <w:szCs w:val="20"/>
        </w:rPr>
        <w:t>а</w:t>
      </w:r>
      <w:r w:rsidR="00C924DB" w:rsidRPr="00744CE3">
        <w:rPr>
          <w:sz w:val="20"/>
          <w:szCs w:val="20"/>
        </w:rPr>
        <w:t xml:space="preserve"> </w:t>
      </w:r>
      <w:r w:rsidR="00C924DB" w:rsidRPr="00744CE3">
        <w:rPr>
          <w:i/>
          <w:sz w:val="20"/>
          <w:szCs w:val="20"/>
        </w:rPr>
        <w:t xml:space="preserve">площадь жилых домов, признанных в установленном порядке аварийными, </w:t>
      </w:r>
      <w:r w:rsidR="00F12A86" w:rsidRPr="00744CE3">
        <w:rPr>
          <w:i/>
          <w:sz w:val="20"/>
          <w:szCs w:val="20"/>
        </w:rPr>
        <w:t xml:space="preserve">составила </w:t>
      </w:r>
      <w:r w:rsidR="00774EBE" w:rsidRPr="00744CE3">
        <w:rPr>
          <w:i/>
          <w:sz w:val="20"/>
          <w:szCs w:val="20"/>
        </w:rPr>
        <w:t>425,9</w:t>
      </w:r>
      <w:r w:rsidR="00FE57F1" w:rsidRPr="00744CE3">
        <w:rPr>
          <w:i/>
          <w:sz w:val="20"/>
          <w:szCs w:val="20"/>
        </w:rPr>
        <w:t xml:space="preserve"> </w:t>
      </w:r>
      <w:r w:rsidR="00F12A86" w:rsidRPr="00744CE3">
        <w:rPr>
          <w:i/>
          <w:sz w:val="20"/>
          <w:szCs w:val="20"/>
        </w:rPr>
        <w:t>тыс. м. кв.</w:t>
      </w:r>
      <w:r w:rsidRPr="00744CE3">
        <w:rPr>
          <w:i/>
          <w:sz w:val="20"/>
          <w:szCs w:val="20"/>
        </w:rPr>
        <w:t xml:space="preserve">(893 дома). </w:t>
      </w:r>
      <w:r w:rsidR="00774EBE" w:rsidRPr="00744CE3">
        <w:rPr>
          <w:sz w:val="20"/>
          <w:szCs w:val="20"/>
        </w:rPr>
        <w:t xml:space="preserve">По состоянию на конец 2021 года </w:t>
      </w:r>
      <w:r w:rsidRPr="00744CE3">
        <w:rPr>
          <w:sz w:val="20"/>
          <w:szCs w:val="20"/>
        </w:rPr>
        <w:t>ч</w:t>
      </w:r>
      <w:r w:rsidR="00774EBE" w:rsidRPr="00744CE3">
        <w:rPr>
          <w:sz w:val="20"/>
          <w:szCs w:val="20"/>
        </w:rPr>
        <w:t xml:space="preserve">ислились </w:t>
      </w:r>
      <w:proofErr w:type="gramStart"/>
      <w:r w:rsidR="00774EBE" w:rsidRPr="00744CE3">
        <w:rPr>
          <w:sz w:val="20"/>
          <w:szCs w:val="20"/>
        </w:rPr>
        <w:t>аварийными</w:t>
      </w:r>
      <w:proofErr w:type="gramEnd"/>
      <w:r w:rsidR="00774EBE" w:rsidRPr="00744CE3">
        <w:rPr>
          <w:sz w:val="20"/>
          <w:szCs w:val="20"/>
        </w:rPr>
        <w:t xml:space="preserve">  </w:t>
      </w:r>
      <w:r w:rsidR="00005F7C" w:rsidRPr="00744CE3">
        <w:rPr>
          <w:sz w:val="20"/>
          <w:szCs w:val="20"/>
        </w:rPr>
        <w:t>909</w:t>
      </w:r>
      <w:r w:rsidR="00774EBE" w:rsidRPr="00744CE3">
        <w:rPr>
          <w:sz w:val="20"/>
          <w:szCs w:val="20"/>
        </w:rPr>
        <w:t xml:space="preserve"> жилых домов площадью </w:t>
      </w:r>
      <w:r w:rsidR="00005F7C" w:rsidRPr="00744CE3">
        <w:rPr>
          <w:sz w:val="20"/>
          <w:szCs w:val="20"/>
        </w:rPr>
        <w:t>439,2</w:t>
      </w:r>
      <w:r w:rsidR="00774EBE" w:rsidRPr="00744CE3">
        <w:rPr>
          <w:sz w:val="20"/>
          <w:szCs w:val="20"/>
        </w:rPr>
        <w:t xml:space="preserve"> </w:t>
      </w:r>
      <w:proofErr w:type="spellStart"/>
      <w:r w:rsidR="00774EBE" w:rsidRPr="00744CE3">
        <w:rPr>
          <w:sz w:val="20"/>
          <w:szCs w:val="20"/>
        </w:rPr>
        <w:t>кв.м</w:t>
      </w:r>
      <w:proofErr w:type="spellEnd"/>
      <w:r w:rsidR="00774EBE" w:rsidRPr="00744CE3">
        <w:rPr>
          <w:sz w:val="20"/>
          <w:szCs w:val="20"/>
        </w:rPr>
        <w:t xml:space="preserve">. </w:t>
      </w:r>
    </w:p>
    <w:p w:rsidR="00774EBE" w:rsidRPr="00744CE3" w:rsidRDefault="00774EBE" w:rsidP="00774EBE">
      <w:pPr>
        <w:ind w:firstLine="567"/>
        <w:jc w:val="both"/>
        <w:rPr>
          <w:sz w:val="20"/>
          <w:szCs w:val="20"/>
        </w:rPr>
      </w:pPr>
      <w:r w:rsidRPr="00744CE3">
        <w:rPr>
          <w:sz w:val="20"/>
          <w:szCs w:val="20"/>
        </w:rPr>
        <w:t xml:space="preserve">В течение 2022 года </w:t>
      </w:r>
      <w:r w:rsidR="00BD602E" w:rsidRPr="00744CE3">
        <w:rPr>
          <w:sz w:val="20"/>
          <w:szCs w:val="20"/>
        </w:rPr>
        <w:t xml:space="preserve">выполнялись мероприятия по сносу аварийных домов, </w:t>
      </w:r>
      <w:r w:rsidRPr="00744CE3">
        <w:rPr>
          <w:sz w:val="20"/>
          <w:szCs w:val="20"/>
        </w:rPr>
        <w:t>признан</w:t>
      </w:r>
      <w:r w:rsidR="00BD602E" w:rsidRPr="00744CE3">
        <w:rPr>
          <w:sz w:val="20"/>
          <w:szCs w:val="20"/>
        </w:rPr>
        <w:t xml:space="preserve">ию домов </w:t>
      </w:r>
      <w:proofErr w:type="gramStart"/>
      <w:r w:rsidRPr="00744CE3">
        <w:rPr>
          <w:sz w:val="20"/>
          <w:szCs w:val="20"/>
        </w:rPr>
        <w:t>аварийными</w:t>
      </w:r>
      <w:proofErr w:type="gramEnd"/>
      <w:r w:rsidR="00BD602E" w:rsidRPr="00744CE3">
        <w:rPr>
          <w:sz w:val="20"/>
          <w:szCs w:val="20"/>
        </w:rPr>
        <w:t>.</w:t>
      </w:r>
      <w:r w:rsidRPr="00744CE3">
        <w:rPr>
          <w:sz w:val="20"/>
          <w:szCs w:val="20"/>
        </w:rPr>
        <w:t xml:space="preserve"> Кроме того была произведена отмена постановлений по признанию </w:t>
      </w:r>
      <w:proofErr w:type="gramStart"/>
      <w:r w:rsidRPr="00744CE3">
        <w:rPr>
          <w:sz w:val="20"/>
          <w:szCs w:val="20"/>
        </w:rPr>
        <w:t>аварийными</w:t>
      </w:r>
      <w:proofErr w:type="gramEnd"/>
      <w:r w:rsidRPr="00744CE3">
        <w:rPr>
          <w:sz w:val="20"/>
          <w:szCs w:val="20"/>
        </w:rPr>
        <w:t xml:space="preserve"> в отношении 12 домов общей площадью 9 389 кв.м.</w:t>
      </w:r>
    </w:p>
    <w:p w:rsidR="007250F3" w:rsidRPr="00CD4ABF" w:rsidRDefault="007250F3" w:rsidP="000C6017">
      <w:pPr>
        <w:jc w:val="center"/>
        <w:outlineLvl w:val="0"/>
        <w:rPr>
          <w:b/>
          <w:color w:val="FF0000"/>
          <w:sz w:val="20"/>
          <w:szCs w:val="20"/>
        </w:rPr>
      </w:pPr>
    </w:p>
    <w:p w:rsidR="000C6017" w:rsidRPr="00FE57F1" w:rsidRDefault="000C6017" w:rsidP="000C6017">
      <w:pPr>
        <w:jc w:val="center"/>
        <w:outlineLvl w:val="0"/>
        <w:rPr>
          <w:b/>
          <w:sz w:val="20"/>
          <w:szCs w:val="20"/>
        </w:rPr>
      </w:pPr>
      <w:r w:rsidRPr="00FE57F1">
        <w:rPr>
          <w:b/>
          <w:sz w:val="20"/>
          <w:szCs w:val="20"/>
        </w:rPr>
        <w:t>7. Жилищно-коммунальное хозяйство</w:t>
      </w:r>
    </w:p>
    <w:p w:rsidR="000C6017" w:rsidRPr="00CD4ABF" w:rsidRDefault="000C6017" w:rsidP="000C6017">
      <w:pPr>
        <w:jc w:val="center"/>
        <w:rPr>
          <w:b/>
          <w:color w:val="FF0000"/>
          <w:sz w:val="20"/>
          <w:szCs w:val="20"/>
          <w:highlight w:val="yellow"/>
        </w:rPr>
      </w:pPr>
    </w:p>
    <w:p w:rsidR="00FE57F1" w:rsidRPr="00FE57F1" w:rsidRDefault="00FE57F1" w:rsidP="00FE57F1">
      <w:pPr>
        <w:ind w:firstLine="709"/>
        <w:jc w:val="both"/>
        <w:rPr>
          <w:rFonts w:eastAsia="Times New Roman"/>
          <w:color w:val="FF0000"/>
          <w:sz w:val="20"/>
          <w:szCs w:val="20"/>
          <w:highlight w:val="yellow"/>
        </w:rPr>
      </w:pPr>
      <w:r w:rsidRPr="00FE57F1">
        <w:rPr>
          <w:sz w:val="20"/>
          <w:szCs w:val="20"/>
        </w:rPr>
        <w:t>Значение показателя «</w:t>
      </w:r>
      <w:r w:rsidRPr="00FE57F1">
        <w:rPr>
          <w:i/>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Pr="00FE57F1">
        <w:rPr>
          <w:sz w:val="20"/>
          <w:szCs w:val="20"/>
        </w:rPr>
        <w:t xml:space="preserve"> в 2022 году составил 86,4% (2021 – 82,25 %). </w:t>
      </w:r>
      <w:r w:rsidRPr="00FE57F1">
        <w:rPr>
          <w:rFonts w:eastAsia="Times New Roman"/>
          <w:color w:val="FF0000"/>
          <w:sz w:val="20"/>
          <w:szCs w:val="20"/>
        </w:rPr>
        <w:tab/>
      </w:r>
    </w:p>
    <w:p w:rsidR="00FE57F1" w:rsidRPr="00FE57F1" w:rsidRDefault="00FE57F1" w:rsidP="00FE57F1">
      <w:pPr>
        <w:ind w:firstLine="709"/>
        <w:jc w:val="both"/>
        <w:rPr>
          <w:rFonts w:eastAsia="Times New Roman"/>
          <w:sz w:val="20"/>
          <w:szCs w:val="20"/>
        </w:rPr>
      </w:pPr>
      <w:r w:rsidRPr="00FE57F1">
        <w:rPr>
          <w:rFonts w:eastAsia="Times New Roman"/>
          <w:sz w:val="20"/>
          <w:szCs w:val="20"/>
        </w:rPr>
        <w:t>По состоянию на 01.01.2023 на территории МО ГО «Сыктывкар» расположены 3013 многоквартирных дома (далее - МКД), из них 1461 дом - в деревянном исполнении. На территории МО ГО «Сыктывкар» действуют 78 управляющих  организаций, в управлении которых находится 2379 домов. Собственники помещений 342 жилых домов выбрали непосредственный способ управления домом. В 292 МКД созданы товарищества собственников жилья и жилищно-строительных кооператива. В 2022 году Управлением ЖКХ администрации МО ГО «Сыктывкар» проведено 12 открытых конкурсов по отбору управляющих организаций для управления 492 многоквартирными домами (в 2021 году- 5 конкурсов). Из них состоялось  - 5 конкурсов (по 435 МКД). Назначено 14 временных управляющих компаний для управления 57 МКД, оставшихся без управления.</w:t>
      </w:r>
    </w:p>
    <w:p w:rsidR="00FE57F1" w:rsidRPr="00FE57F1" w:rsidRDefault="00FE57F1" w:rsidP="00C47CFD">
      <w:pPr>
        <w:ind w:left="-142" w:right="-284" w:firstLine="851"/>
        <w:jc w:val="both"/>
        <w:rPr>
          <w:rFonts w:eastAsia="Times New Roman"/>
          <w:sz w:val="20"/>
          <w:szCs w:val="20"/>
        </w:rPr>
      </w:pPr>
      <w:r w:rsidRPr="00FE57F1">
        <w:rPr>
          <w:rFonts w:eastAsia="Times New Roman"/>
          <w:sz w:val="20"/>
          <w:szCs w:val="20"/>
        </w:rPr>
        <w:t>Значение показателя «</w:t>
      </w:r>
      <w:r w:rsidRPr="00FE57F1">
        <w:rPr>
          <w:rFonts w:eastAsia="Times New Roman"/>
          <w:i/>
          <w:sz w:val="20"/>
          <w:szCs w:val="20"/>
        </w:rPr>
        <w:t>Доля организаций коммунального комплекса, осуществляющих производство товаров, оказание услуг по водо-, тепл</w:t>
      </w:r>
      <w:proofErr w:type="gramStart"/>
      <w:r w:rsidRPr="00FE57F1">
        <w:rPr>
          <w:rFonts w:eastAsia="Times New Roman"/>
          <w:i/>
          <w:sz w:val="20"/>
          <w:szCs w:val="20"/>
        </w:rPr>
        <w:t>о-</w:t>
      </w:r>
      <w:proofErr w:type="gramEnd"/>
      <w:r w:rsidRPr="00FE57F1">
        <w:rPr>
          <w:rFonts w:eastAsia="Times New Roman"/>
          <w:i/>
          <w:sz w:val="20"/>
          <w:szCs w:val="20"/>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FE57F1">
        <w:rPr>
          <w:rFonts w:eastAsia="Times New Roman"/>
          <w:i/>
          <w:sz w:val="20"/>
          <w:szCs w:val="20"/>
        </w:rPr>
        <w:t>числе организаций коммунального комплекса, осуществляющих свою деятельность на территории городского округа (муниципального района</w:t>
      </w:r>
      <w:r w:rsidRPr="00FE57F1">
        <w:rPr>
          <w:rFonts w:eastAsia="Times New Roman"/>
          <w:sz w:val="20"/>
          <w:szCs w:val="20"/>
        </w:rPr>
        <w:t>)» в 2022 году сохранено на уровне 2021 года – 70,59%. Изменение значения показателя обусловлено изменением общего количества организаций коммунального комплекса, осуществляющих свою деятельность на территории МО ГО «Сыктывкар».</w:t>
      </w:r>
      <w:proofErr w:type="gramEnd"/>
    </w:p>
    <w:p w:rsidR="00FE57F1" w:rsidRPr="00FE57F1" w:rsidRDefault="00FE57F1" w:rsidP="00FE57F1">
      <w:pPr>
        <w:ind w:firstLine="709"/>
        <w:jc w:val="both"/>
        <w:rPr>
          <w:sz w:val="20"/>
          <w:szCs w:val="20"/>
          <w:highlight w:val="yellow"/>
        </w:rPr>
      </w:pPr>
      <w:r w:rsidRPr="00FE57F1">
        <w:rPr>
          <w:sz w:val="20"/>
          <w:szCs w:val="20"/>
        </w:rPr>
        <w:t>Показатель «</w:t>
      </w:r>
      <w:r w:rsidRPr="00FE57F1">
        <w:rPr>
          <w:i/>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r w:rsidRPr="00FE57F1">
        <w:rPr>
          <w:sz w:val="20"/>
          <w:szCs w:val="20"/>
        </w:rPr>
        <w:t xml:space="preserve">» </w:t>
      </w:r>
      <w:r w:rsidRPr="00FE57F1">
        <w:rPr>
          <w:iCs/>
          <w:sz w:val="20"/>
          <w:szCs w:val="20"/>
        </w:rPr>
        <w:t>в 202</w:t>
      </w:r>
      <w:r w:rsidR="00C05295">
        <w:rPr>
          <w:iCs/>
          <w:sz w:val="20"/>
          <w:szCs w:val="20"/>
        </w:rPr>
        <w:t>2</w:t>
      </w:r>
      <w:r w:rsidRPr="00FE57F1">
        <w:rPr>
          <w:iCs/>
          <w:sz w:val="20"/>
          <w:szCs w:val="20"/>
        </w:rPr>
        <w:t xml:space="preserve"> году составил 65,0%.</w:t>
      </w:r>
      <w:r w:rsidRPr="00FE57F1">
        <w:rPr>
          <w:sz w:val="20"/>
          <w:szCs w:val="20"/>
        </w:rPr>
        <w:t xml:space="preserve"> Проведение кадастровых работ в отношении земельных участков, занятых многоквартирными жилыми домами, носит заявительный характер: кадастровые работы проводят собственники многоквартирных домов. Администрацией будет продолжена практика проведения встреч и разъяснительная работа.</w:t>
      </w:r>
    </w:p>
    <w:p w:rsidR="00FE57F1" w:rsidRPr="00FE57F1" w:rsidRDefault="00FE57F1" w:rsidP="00FE57F1">
      <w:pPr>
        <w:ind w:right="-284" w:firstLine="709"/>
        <w:jc w:val="both"/>
        <w:rPr>
          <w:sz w:val="20"/>
          <w:szCs w:val="20"/>
        </w:rPr>
      </w:pPr>
      <w:r w:rsidRPr="00FE57F1">
        <w:rPr>
          <w:sz w:val="20"/>
          <w:szCs w:val="20"/>
        </w:rPr>
        <w:t>В отчетном периоде значение показателя «</w:t>
      </w:r>
      <w:r w:rsidRPr="00FE57F1">
        <w:rPr>
          <w:i/>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FE57F1">
        <w:rPr>
          <w:sz w:val="20"/>
          <w:szCs w:val="20"/>
        </w:rPr>
        <w:t xml:space="preserve">» составило 4,43%. </w:t>
      </w:r>
    </w:p>
    <w:p w:rsidR="00FE57F1" w:rsidRPr="00FE57F1" w:rsidRDefault="00FE57F1" w:rsidP="00FE57F1">
      <w:pPr>
        <w:ind w:firstLine="709"/>
        <w:jc w:val="both"/>
        <w:outlineLvl w:val="0"/>
        <w:rPr>
          <w:sz w:val="20"/>
          <w:szCs w:val="20"/>
        </w:rPr>
      </w:pPr>
      <w:r w:rsidRPr="00FE57F1">
        <w:rPr>
          <w:sz w:val="20"/>
          <w:szCs w:val="20"/>
        </w:rPr>
        <w:t>Общее количество семей, улучшивших жилищные условия за 2022 год, составляет 285 в том числе:</w:t>
      </w:r>
    </w:p>
    <w:p w:rsidR="00FE57F1" w:rsidRPr="00FE57F1" w:rsidRDefault="00FE57F1" w:rsidP="00FE57F1">
      <w:pPr>
        <w:ind w:firstLine="709"/>
        <w:jc w:val="both"/>
        <w:outlineLvl w:val="0"/>
        <w:rPr>
          <w:sz w:val="20"/>
          <w:szCs w:val="20"/>
        </w:rPr>
      </w:pPr>
      <w:r w:rsidRPr="00FE57F1">
        <w:rPr>
          <w:sz w:val="20"/>
          <w:szCs w:val="20"/>
        </w:rPr>
        <w:t>- 120 граждан, относящихся к категории «дети-сироты и дети, оставшиеся без попечения родителей, лица из числа детей-сирот и детей, оставшихся без попечения родителей»;</w:t>
      </w:r>
    </w:p>
    <w:p w:rsidR="00FE57F1" w:rsidRPr="00FE57F1" w:rsidRDefault="00FE57F1" w:rsidP="00FE57F1">
      <w:pPr>
        <w:ind w:firstLine="709"/>
        <w:jc w:val="both"/>
        <w:outlineLvl w:val="0"/>
        <w:rPr>
          <w:sz w:val="20"/>
          <w:szCs w:val="20"/>
        </w:rPr>
      </w:pPr>
      <w:r w:rsidRPr="00FE57F1">
        <w:rPr>
          <w:sz w:val="20"/>
          <w:szCs w:val="20"/>
        </w:rPr>
        <w:t>- 12 молодых семей получили свидетельства на приобретение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E57F1" w:rsidRPr="00FE57F1" w:rsidRDefault="00FE57F1" w:rsidP="00FE57F1">
      <w:pPr>
        <w:ind w:firstLine="709"/>
        <w:jc w:val="both"/>
        <w:outlineLvl w:val="0"/>
        <w:rPr>
          <w:sz w:val="20"/>
          <w:szCs w:val="20"/>
        </w:rPr>
      </w:pPr>
      <w:r w:rsidRPr="00FE57F1">
        <w:rPr>
          <w:sz w:val="20"/>
          <w:szCs w:val="20"/>
        </w:rPr>
        <w:t>- предоставлено 14 свидетельств о праве на единовременные денежные выплаты гражданам, установленным Федеральными законами от 12.01.1995 № 5-ФЗ «О ветеранах» и от 24.11.1995 № 181-ФЗ «О социальной защите инвалидов в Российской Федерации»;</w:t>
      </w:r>
    </w:p>
    <w:p w:rsidR="00FE57F1" w:rsidRPr="00FE57F1" w:rsidRDefault="00FE57F1" w:rsidP="00FE57F1">
      <w:pPr>
        <w:ind w:firstLine="709"/>
        <w:jc w:val="both"/>
        <w:outlineLvl w:val="0"/>
        <w:rPr>
          <w:sz w:val="20"/>
          <w:szCs w:val="20"/>
        </w:rPr>
      </w:pPr>
      <w:r w:rsidRPr="00FE57F1">
        <w:rPr>
          <w:sz w:val="20"/>
          <w:szCs w:val="20"/>
        </w:rPr>
        <w:t>- 3 гражданам предоставлены социальные выплаты на строительство или приобретения жилья, в рамках Закона Республики Коми от 05.04.2005 № 30-РЗ «О социальных выплатах на строительство или приобретение жилья» за счет средств республиканского бюджета Республики Коми;</w:t>
      </w:r>
    </w:p>
    <w:p w:rsidR="00FE57F1" w:rsidRPr="00FE57F1" w:rsidRDefault="00FE57F1" w:rsidP="00FE57F1">
      <w:pPr>
        <w:ind w:firstLine="709"/>
        <w:jc w:val="both"/>
        <w:outlineLvl w:val="0"/>
        <w:rPr>
          <w:sz w:val="20"/>
          <w:szCs w:val="20"/>
        </w:rPr>
      </w:pPr>
      <w:r w:rsidRPr="00FE57F1">
        <w:rPr>
          <w:sz w:val="20"/>
          <w:szCs w:val="20"/>
        </w:rPr>
        <w:t>- заключено и утверждено Сыктывкарским городским судом Республики Коми 10 мировых соглашений по предоставлению гражданам жилых помещений с доплатой денежных средств на отделку жилых помещений;</w:t>
      </w:r>
    </w:p>
    <w:p w:rsidR="00FE57F1" w:rsidRPr="00FE57F1" w:rsidRDefault="00FE57F1" w:rsidP="00FE57F1">
      <w:pPr>
        <w:ind w:firstLine="709"/>
        <w:jc w:val="both"/>
        <w:outlineLvl w:val="0"/>
        <w:rPr>
          <w:sz w:val="20"/>
          <w:szCs w:val="20"/>
        </w:rPr>
      </w:pPr>
      <w:r w:rsidRPr="00FE57F1">
        <w:rPr>
          <w:sz w:val="20"/>
          <w:szCs w:val="20"/>
        </w:rPr>
        <w:t>- между 23 гражданами-взыскателями и администрацией МО ГО «Сыктывкар» заключены договоры социального найма на жилые помещения;</w:t>
      </w:r>
    </w:p>
    <w:p w:rsidR="00FE57F1" w:rsidRPr="00FE57F1" w:rsidRDefault="00FE57F1" w:rsidP="00FE57F1">
      <w:pPr>
        <w:ind w:firstLine="709"/>
        <w:jc w:val="both"/>
        <w:outlineLvl w:val="0"/>
        <w:rPr>
          <w:sz w:val="20"/>
          <w:szCs w:val="20"/>
        </w:rPr>
      </w:pPr>
      <w:r w:rsidRPr="00FE57F1">
        <w:rPr>
          <w:sz w:val="20"/>
          <w:szCs w:val="20"/>
        </w:rPr>
        <w:lastRenderedPageBreak/>
        <w:t xml:space="preserve">- 91 семья переселена из аварийного жилищного фонда; </w:t>
      </w:r>
    </w:p>
    <w:p w:rsidR="00FE57F1" w:rsidRPr="00FE57F1" w:rsidRDefault="00FE57F1" w:rsidP="00FE57F1">
      <w:pPr>
        <w:ind w:firstLine="709"/>
        <w:jc w:val="both"/>
        <w:outlineLvl w:val="0"/>
        <w:rPr>
          <w:sz w:val="20"/>
          <w:szCs w:val="20"/>
        </w:rPr>
      </w:pPr>
      <w:r w:rsidRPr="00FE57F1">
        <w:rPr>
          <w:sz w:val="20"/>
          <w:szCs w:val="20"/>
        </w:rPr>
        <w:t>- 12 семей обеспечены земельными участками в собственность для строительства жилого помещения.</w:t>
      </w:r>
    </w:p>
    <w:p w:rsidR="00FE57F1" w:rsidRPr="00FE57F1" w:rsidRDefault="00FE57F1" w:rsidP="00FE57F1">
      <w:pPr>
        <w:ind w:firstLine="709"/>
        <w:jc w:val="both"/>
        <w:outlineLvl w:val="0"/>
        <w:rPr>
          <w:sz w:val="20"/>
          <w:szCs w:val="20"/>
        </w:rPr>
      </w:pPr>
      <w:r w:rsidRPr="00FE57F1">
        <w:rPr>
          <w:sz w:val="20"/>
          <w:szCs w:val="20"/>
        </w:rPr>
        <w:t>Общее количество семей, состоящих на учете для улучшения жилищных условий, составляет 6428.</w:t>
      </w:r>
    </w:p>
    <w:p w:rsidR="00FE57F1" w:rsidRPr="00FE57F1" w:rsidRDefault="00FE57F1" w:rsidP="00FE57F1">
      <w:pPr>
        <w:ind w:firstLine="709"/>
        <w:jc w:val="both"/>
        <w:outlineLvl w:val="0"/>
        <w:rPr>
          <w:sz w:val="20"/>
          <w:szCs w:val="20"/>
        </w:rPr>
      </w:pPr>
      <w:r w:rsidRPr="00FE57F1">
        <w:rPr>
          <w:sz w:val="20"/>
          <w:szCs w:val="20"/>
        </w:rPr>
        <w:t xml:space="preserve">Для сохранения, либо увеличения количества граждан, улучшивших жилищные условия и получивших  жилые помещения, в 2023 году определены следующие мероприятия: </w:t>
      </w:r>
    </w:p>
    <w:p w:rsidR="00FE57F1" w:rsidRPr="00FE57F1" w:rsidRDefault="00FE57F1" w:rsidP="00FE57F1">
      <w:pPr>
        <w:ind w:firstLine="709"/>
        <w:jc w:val="both"/>
        <w:outlineLvl w:val="0"/>
        <w:rPr>
          <w:sz w:val="20"/>
          <w:szCs w:val="20"/>
        </w:rPr>
      </w:pPr>
      <w:r w:rsidRPr="00FE57F1">
        <w:rPr>
          <w:sz w:val="20"/>
          <w:szCs w:val="20"/>
        </w:rPr>
        <w:t>-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FE57F1" w:rsidRPr="00FE57F1" w:rsidRDefault="00FE57F1" w:rsidP="00FE57F1">
      <w:pPr>
        <w:ind w:firstLine="709"/>
        <w:jc w:val="both"/>
        <w:outlineLvl w:val="0"/>
        <w:rPr>
          <w:sz w:val="20"/>
          <w:szCs w:val="20"/>
        </w:rPr>
      </w:pPr>
      <w:r w:rsidRPr="00FE57F1">
        <w:rPr>
          <w:sz w:val="20"/>
          <w:szCs w:val="20"/>
        </w:rPr>
        <w:t>- заключение мировых соглашений по выплате гражданам, имеющим судебные решения о предоставлении жилых помещений, денежной компенсации стоимости благоустроенного жилого помещения;</w:t>
      </w:r>
    </w:p>
    <w:p w:rsidR="00FE57F1" w:rsidRPr="00FE57F1" w:rsidRDefault="00FE57F1" w:rsidP="00FE57F1">
      <w:pPr>
        <w:ind w:firstLine="709"/>
        <w:jc w:val="both"/>
        <w:outlineLvl w:val="0"/>
        <w:rPr>
          <w:sz w:val="20"/>
          <w:szCs w:val="20"/>
        </w:rPr>
      </w:pPr>
      <w:r w:rsidRPr="00FE57F1">
        <w:rPr>
          <w:sz w:val="20"/>
          <w:szCs w:val="20"/>
        </w:rPr>
        <w:t>- предоставление единовременных денежных выплат отдельным категориям граждан, установленных федеральными законами № 5-ФЗ «О ветеранах» и № 181-ФЗ «О социальной защите инвалидов в Российской Федерации», за счет средств субвенций, поступающих из федерального бюджета;</w:t>
      </w:r>
    </w:p>
    <w:p w:rsidR="00FE57F1" w:rsidRPr="00FE57F1" w:rsidRDefault="00FE57F1" w:rsidP="00FE57F1">
      <w:pPr>
        <w:ind w:firstLine="709"/>
        <w:jc w:val="both"/>
        <w:outlineLvl w:val="0"/>
        <w:rPr>
          <w:sz w:val="20"/>
          <w:szCs w:val="20"/>
        </w:rPr>
      </w:pPr>
      <w:r w:rsidRPr="00FE57F1">
        <w:rPr>
          <w:sz w:val="20"/>
          <w:szCs w:val="20"/>
        </w:rPr>
        <w:t>- предоставление социальных выплат молодым семьям на приобретение жилого помещения или создание объекта индивидуального жилищного строительства;</w:t>
      </w:r>
    </w:p>
    <w:p w:rsidR="00FE57F1" w:rsidRPr="00FE57F1" w:rsidRDefault="00FE57F1" w:rsidP="00FE57F1">
      <w:pPr>
        <w:ind w:firstLine="709"/>
        <w:jc w:val="both"/>
        <w:outlineLvl w:val="0"/>
        <w:rPr>
          <w:sz w:val="20"/>
          <w:szCs w:val="20"/>
        </w:rPr>
      </w:pPr>
      <w:r w:rsidRPr="00FE57F1">
        <w:rPr>
          <w:sz w:val="20"/>
          <w:szCs w:val="20"/>
        </w:rPr>
        <w:t>- обеспечение мероприятий по переселению граждан из аварийного жилищного фонда.</w:t>
      </w:r>
    </w:p>
    <w:p w:rsidR="00FE57F1" w:rsidRPr="00FE57F1" w:rsidRDefault="00FE57F1" w:rsidP="00FE57F1">
      <w:pPr>
        <w:ind w:firstLine="709"/>
        <w:jc w:val="both"/>
        <w:outlineLvl w:val="0"/>
        <w:rPr>
          <w:sz w:val="20"/>
          <w:szCs w:val="20"/>
        </w:rPr>
      </w:pPr>
      <w:proofErr w:type="gramStart"/>
      <w:r w:rsidRPr="00FE57F1">
        <w:rPr>
          <w:sz w:val="20"/>
          <w:szCs w:val="20"/>
        </w:rPr>
        <w:t>В 2023 году планируется сохранение доли населения, получившего жилые помещения и улучшившего жилищные условия, за счет получения финансирования переданных полномочий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 обеспечению отдельных категорий граждан, установленных федеральными законами № 5-ФЗ «О ветеранах» и № 181-ФЗ «О социальной защите инвалидов</w:t>
      </w:r>
      <w:proofErr w:type="gramEnd"/>
      <w:r w:rsidRPr="00FE57F1">
        <w:rPr>
          <w:sz w:val="20"/>
          <w:szCs w:val="20"/>
        </w:rPr>
        <w:t xml:space="preserve"> в Российской Федерации»; </w:t>
      </w:r>
      <w:proofErr w:type="gramStart"/>
      <w:r w:rsidRPr="00FE57F1">
        <w:rPr>
          <w:sz w:val="20"/>
          <w:szCs w:val="20"/>
        </w:rPr>
        <w:t>за счет получения финансирования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w:t>
      </w:r>
      <w:proofErr w:type="gramEnd"/>
      <w:r w:rsidRPr="00FE57F1">
        <w:rPr>
          <w:sz w:val="20"/>
          <w:szCs w:val="20"/>
        </w:rPr>
        <w:t xml:space="preserve"> и коммунальными услугами граждан Российской Федерации».</w:t>
      </w:r>
    </w:p>
    <w:p w:rsidR="004F45EA" w:rsidRPr="00CD4ABF" w:rsidRDefault="004F45EA" w:rsidP="000C6017">
      <w:pPr>
        <w:jc w:val="center"/>
        <w:outlineLvl w:val="0"/>
        <w:rPr>
          <w:b/>
          <w:color w:val="FF0000"/>
          <w:sz w:val="20"/>
          <w:szCs w:val="20"/>
        </w:rPr>
      </w:pPr>
    </w:p>
    <w:p w:rsidR="000C6017" w:rsidRPr="002334E3" w:rsidRDefault="000C6017" w:rsidP="000C6017">
      <w:pPr>
        <w:jc w:val="center"/>
        <w:outlineLvl w:val="0"/>
        <w:rPr>
          <w:b/>
          <w:sz w:val="20"/>
          <w:szCs w:val="20"/>
        </w:rPr>
      </w:pPr>
      <w:r w:rsidRPr="002334E3">
        <w:rPr>
          <w:b/>
          <w:sz w:val="20"/>
          <w:szCs w:val="20"/>
        </w:rPr>
        <w:t>8. Организация муниципального управления</w:t>
      </w:r>
    </w:p>
    <w:p w:rsidR="000C6017" w:rsidRPr="002334E3" w:rsidRDefault="000C6017" w:rsidP="000C6017">
      <w:pPr>
        <w:jc w:val="center"/>
        <w:rPr>
          <w:b/>
          <w:color w:val="FF0000"/>
          <w:sz w:val="20"/>
          <w:szCs w:val="20"/>
          <w:highlight w:val="yellow"/>
        </w:rPr>
      </w:pPr>
    </w:p>
    <w:p w:rsidR="002334E3" w:rsidRPr="002334E3" w:rsidRDefault="002334E3" w:rsidP="002334E3">
      <w:pPr>
        <w:pStyle w:val="a9"/>
        <w:tabs>
          <w:tab w:val="left" w:pos="851"/>
          <w:tab w:val="left" w:pos="1134"/>
        </w:tabs>
        <w:spacing w:line="264" w:lineRule="auto"/>
        <w:ind w:left="0" w:firstLine="426"/>
        <w:jc w:val="both"/>
        <w:rPr>
          <w:rFonts w:ascii="Times New Roman" w:hAnsi="Times New Roman"/>
          <w:sz w:val="20"/>
          <w:szCs w:val="20"/>
        </w:rPr>
      </w:pPr>
      <w:proofErr w:type="gramStart"/>
      <w:r w:rsidRPr="002334E3">
        <w:rPr>
          <w:rFonts w:ascii="Times New Roman" w:hAnsi="Times New Roman"/>
          <w:i/>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w:t>
      </w:r>
      <w:r w:rsidRPr="002334E3">
        <w:rPr>
          <w:rFonts w:ascii="Times New Roman" w:hAnsi="Times New Roman"/>
          <w:sz w:val="20"/>
          <w:szCs w:val="20"/>
        </w:rPr>
        <w:t xml:space="preserve"> в 2022 году составила 56,6 %.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 в 2022 увеличилась относительно 2021</w:t>
      </w:r>
      <w:proofErr w:type="gramEnd"/>
      <w:r w:rsidRPr="002334E3">
        <w:rPr>
          <w:rFonts w:ascii="Times New Roman" w:hAnsi="Times New Roman"/>
          <w:sz w:val="20"/>
          <w:szCs w:val="20"/>
        </w:rPr>
        <w:t xml:space="preserve"> года и составила 56,6%. Увеличение данного показателя произошло по причине роста налоговых и неналоговых доходов бюджета (за исключением поступлений по дополнительным нормативам отчислений по НДФЛ) на 1,7% и снижения дотаций в 2022 году по сравнению с 2021 годом на 16,3%.</w:t>
      </w:r>
    </w:p>
    <w:p w:rsidR="002334E3" w:rsidRPr="002334E3" w:rsidRDefault="002334E3" w:rsidP="002334E3">
      <w:pPr>
        <w:pStyle w:val="a9"/>
        <w:tabs>
          <w:tab w:val="left" w:pos="851"/>
          <w:tab w:val="left" w:pos="1134"/>
        </w:tabs>
        <w:spacing w:line="264" w:lineRule="auto"/>
        <w:ind w:left="0" w:firstLine="426"/>
        <w:jc w:val="both"/>
        <w:rPr>
          <w:rFonts w:ascii="Times New Roman" w:hAnsi="Times New Roman"/>
          <w:sz w:val="20"/>
          <w:szCs w:val="20"/>
        </w:rPr>
      </w:pPr>
      <w:r w:rsidRPr="002334E3">
        <w:rPr>
          <w:rFonts w:ascii="Times New Roman" w:hAnsi="Times New Roman"/>
          <w:sz w:val="20"/>
          <w:szCs w:val="20"/>
        </w:rPr>
        <w:t>На 2023 год доля возрастет до 63,7%, что обусловлено ростом налоговых и неналоговых доходов (за исключением поступлений по дополнительным нормативам отчислений по НДФЛ) на 12,5%, сокращением: иных межбюджетных трансфертов - в 2,9 раза, дотаций - в 7,9 раз. На 2024 год и 2025 год уровень доли достигнет 74,4% и 81,9% соответственно. Увеличение доли обусловлено как увеличением объема налоговых и неналоговых доходов, так и снижением дотаций и иных межбюджетных трансфертов по причине отсутствия информации за данный период о безвозмездных поступлениях от других бюджетов бюджетной системы Российской Федерации.</w:t>
      </w:r>
    </w:p>
    <w:p w:rsidR="002334E3" w:rsidRPr="002334E3" w:rsidRDefault="002334E3" w:rsidP="002334E3">
      <w:pPr>
        <w:pStyle w:val="a9"/>
        <w:tabs>
          <w:tab w:val="left" w:pos="851"/>
          <w:tab w:val="left" w:pos="1134"/>
        </w:tabs>
        <w:spacing w:line="264" w:lineRule="auto"/>
        <w:ind w:left="0" w:firstLine="426"/>
        <w:jc w:val="both"/>
        <w:rPr>
          <w:rFonts w:ascii="Times New Roman" w:hAnsi="Times New Roman"/>
          <w:sz w:val="20"/>
          <w:szCs w:val="20"/>
        </w:rPr>
      </w:pPr>
      <w:proofErr w:type="gramStart"/>
      <w:r w:rsidRPr="002334E3">
        <w:rPr>
          <w:rFonts w:ascii="Times New Roman" w:hAnsi="Times New Roman"/>
          <w:sz w:val="20"/>
          <w:szCs w:val="20"/>
        </w:rPr>
        <w:t>Для достижения прогнозных значений показателей на 3-летний период будет продолжена работа по увеличению доходов в бюджет МО ГО «Сыктывкар» в соответствии с  Программой оздоровления муниципальных финансов МО ГО «Сыктывкар» на период 2017-2024 годов, утвержденной постановлением администрации МО ГО «Сыктывкар» от 13.07.2017 № 7/2494 и Муниципальной программой МО ГО «Сыктывкар» «Финансы и муниципальный долг», утвержденной постановлением администрации МО ГО «Сыктывкар» от</w:t>
      </w:r>
      <w:proofErr w:type="gramEnd"/>
      <w:r w:rsidRPr="002334E3">
        <w:rPr>
          <w:rFonts w:ascii="Times New Roman" w:hAnsi="Times New Roman"/>
          <w:sz w:val="20"/>
          <w:szCs w:val="20"/>
        </w:rPr>
        <w:t xml:space="preserve"> 25.12.2019 № 12/3851, в том числе путем:</w:t>
      </w:r>
    </w:p>
    <w:p w:rsidR="002334E3" w:rsidRPr="002334E3" w:rsidRDefault="002334E3" w:rsidP="002334E3">
      <w:pPr>
        <w:pStyle w:val="a9"/>
        <w:tabs>
          <w:tab w:val="left" w:pos="851"/>
          <w:tab w:val="left" w:pos="1134"/>
        </w:tabs>
        <w:spacing w:line="264" w:lineRule="auto"/>
        <w:ind w:left="0" w:firstLine="426"/>
        <w:jc w:val="both"/>
        <w:rPr>
          <w:rFonts w:ascii="Times New Roman" w:hAnsi="Times New Roman"/>
          <w:sz w:val="20"/>
          <w:szCs w:val="20"/>
        </w:rPr>
      </w:pPr>
      <w:r w:rsidRPr="002334E3">
        <w:rPr>
          <w:rFonts w:ascii="Times New Roman" w:hAnsi="Times New Roman"/>
          <w:sz w:val="20"/>
          <w:szCs w:val="20"/>
        </w:rPr>
        <w:t>- осуществления мероприятий по обеспечению поступления всех предусмотренных в городском бюджете доходов, выявлению резервов увеличения платежей в бюджет;</w:t>
      </w:r>
    </w:p>
    <w:p w:rsidR="002334E3" w:rsidRPr="002334E3" w:rsidRDefault="002334E3" w:rsidP="002334E3">
      <w:pPr>
        <w:pStyle w:val="a9"/>
        <w:tabs>
          <w:tab w:val="left" w:pos="851"/>
          <w:tab w:val="left" w:pos="1134"/>
        </w:tabs>
        <w:spacing w:line="264" w:lineRule="auto"/>
        <w:ind w:left="0" w:firstLine="426"/>
        <w:jc w:val="both"/>
        <w:rPr>
          <w:rFonts w:ascii="Times New Roman" w:hAnsi="Times New Roman"/>
          <w:sz w:val="20"/>
          <w:szCs w:val="20"/>
        </w:rPr>
      </w:pPr>
      <w:r w:rsidRPr="002334E3">
        <w:rPr>
          <w:rFonts w:ascii="Times New Roman" w:hAnsi="Times New Roman"/>
          <w:sz w:val="20"/>
          <w:szCs w:val="20"/>
        </w:rPr>
        <w:t>- организации работы главных администраторов доходов по сокращению задолженности по платежам в бюджет;</w:t>
      </w:r>
    </w:p>
    <w:p w:rsidR="002334E3" w:rsidRPr="002334E3" w:rsidRDefault="002334E3" w:rsidP="002334E3">
      <w:pPr>
        <w:pStyle w:val="a9"/>
        <w:tabs>
          <w:tab w:val="left" w:pos="851"/>
          <w:tab w:val="left" w:pos="1134"/>
        </w:tabs>
        <w:spacing w:line="264" w:lineRule="auto"/>
        <w:ind w:left="0" w:firstLine="426"/>
        <w:jc w:val="both"/>
        <w:rPr>
          <w:rFonts w:ascii="Times New Roman" w:hAnsi="Times New Roman"/>
          <w:sz w:val="20"/>
          <w:szCs w:val="20"/>
        </w:rPr>
      </w:pPr>
      <w:r w:rsidRPr="002334E3">
        <w:rPr>
          <w:rFonts w:ascii="Times New Roman" w:hAnsi="Times New Roman"/>
          <w:sz w:val="20"/>
          <w:szCs w:val="20"/>
        </w:rPr>
        <w:t>- проведения мероприятий по реализации статьи 69.1 Федерального закона от 13.07.2015 № 218-ФЗ, направленной на увеличение доходного потенциала МО ГО «Сыктывкар»,  на территории города;</w:t>
      </w:r>
    </w:p>
    <w:p w:rsidR="002334E3" w:rsidRPr="002334E3" w:rsidRDefault="002334E3" w:rsidP="002334E3">
      <w:pPr>
        <w:pStyle w:val="a9"/>
        <w:tabs>
          <w:tab w:val="left" w:pos="851"/>
          <w:tab w:val="left" w:pos="1134"/>
        </w:tabs>
        <w:spacing w:after="0" w:line="264" w:lineRule="auto"/>
        <w:ind w:left="0" w:firstLine="426"/>
        <w:jc w:val="both"/>
        <w:rPr>
          <w:rFonts w:ascii="Times New Roman" w:hAnsi="Times New Roman"/>
          <w:sz w:val="20"/>
          <w:szCs w:val="20"/>
        </w:rPr>
      </w:pPr>
      <w:r w:rsidRPr="002334E3">
        <w:rPr>
          <w:rFonts w:ascii="Times New Roman" w:hAnsi="Times New Roman"/>
          <w:sz w:val="20"/>
          <w:szCs w:val="20"/>
        </w:rPr>
        <w:t>- организации работы Комиссии по ликвидации задолженности по выплате заработной платы, платежам в бюджет и внебюджетные фонды и легализации трудовых отношений, действующей в соответствии с постановлением администрации МО ГО «Сыктывкар» от 15.10.2020 № 10/2484.</w:t>
      </w:r>
    </w:p>
    <w:p w:rsidR="002334E3" w:rsidRPr="002334E3" w:rsidRDefault="002334E3" w:rsidP="00731028">
      <w:pPr>
        <w:autoSpaceDE w:val="0"/>
        <w:autoSpaceDN w:val="0"/>
        <w:adjustRightInd w:val="0"/>
        <w:ind w:firstLine="539"/>
        <w:jc w:val="both"/>
        <w:rPr>
          <w:sz w:val="20"/>
          <w:szCs w:val="20"/>
        </w:rPr>
      </w:pPr>
      <w:r w:rsidRPr="002334E3">
        <w:rPr>
          <w:sz w:val="20"/>
          <w:szCs w:val="20"/>
        </w:rPr>
        <w:t>Показатель «</w:t>
      </w:r>
      <w:r w:rsidRPr="002334E3">
        <w:rPr>
          <w:i/>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Pr="002334E3">
        <w:rPr>
          <w:sz w:val="20"/>
          <w:szCs w:val="20"/>
        </w:rPr>
        <w:t xml:space="preserve">» в 2022 году составил 0%, в 2022 году банкротство муниципальных организаций не производилось. </w:t>
      </w:r>
    </w:p>
    <w:p w:rsidR="002334E3" w:rsidRPr="002334E3" w:rsidRDefault="002334E3" w:rsidP="002334E3">
      <w:pPr>
        <w:ind w:firstLine="709"/>
        <w:jc w:val="both"/>
        <w:rPr>
          <w:sz w:val="20"/>
          <w:szCs w:val="20"/>
        </w:rPr>
      </w:pPr>
      <w:r w:rsidRPr="002334E3">
        <w:rPr>
          <w:sz w:val="20"/>
          <w:szCs w:val="20"/>
        </w:rPr>
        <w:lastRenderedPageBreak/>
        <w:t>Показатель «</w:t>
      </w:r>
      <w:r w:rsidRPr="002334E3">
        <w:rPr>
          <w:i/>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2334E3">
        <w:rPr>
          <w:sz w:val="20"/>
          <w:szCs w:val="20"/>
        </w:rPr>
        <w:t xml:space="preserve">». </w:t>
      </w:r>
      <w:proofErr w:type="gramStart"/>
      <w:r w:rsidRPr="002334E3">
        <w:rPr>
          <w:sz w:val="20"/>
          <w:szCs w:val="20"/>
        </w:rPr>
        <w:t>Показатель равен нулю, так как в соответствии с Постановлением администрации МО ГО «Сыктывкар» от 30.12.2019 № 12/3921 «О мерах по реализации решения Совета МО ГО «Сыктывкар» о бюджете муниципального образования городского округа «Сыктывкар» на текущий финансовый год и плановый период» пунктом 6.14. установлено недопущение образования просроченной кредиторской задолженности и необоснованной дебиторской задолженности.</w:t>
      </w:r>
      <w:proofErr w:type="gramEnd"/>
    </w:p>
    <w:p w:rsidR="002334E3" w:rsidRPr="002334E3" w:rsidRDefault="002334E3" w:rsidP="002334E3">
      <w:pPr>
        <w:autoSpaceDE w:val="0"/>
        <w:autoSpaceDN w:val="0"/>
        <w:adjustRightInd w:val="0"/>
        <w:ind w:firstLine="539"/>
        <w:jc w:val="both"/>
        <w:rPr>
          <w:sz w:val="20"/>
          <w:szCs w:val="20"/>
        </w:rPr>
      </w:pPr>
      <w:r w:rsidRPr="002334E3">
        <w:rPr>
          <w:sz w:val="20"/>
          <w:szCs w:val="20"/>
        </w:rPr>
        <w:t>Значение показателя «</w:t>
      </w:r>
      <w:r w:rsidRPr="002334E3">
        <w:rPr>
          <w:i/>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2334E3">
        <w:rPr>
          <w:sz w:val="20"/>
          <w:szCs w:val="20"/>
        </w:rPr>
        <w:t xml:space="preserve">» - 2 277,5 рублей. </w:t>
      </w:r>
    </w:p>
    <w:p w:rsidR="002334E3" w:rsidRPr="002334E3" w:rsidRDefault="002334E3" w:rsidP="002334E3">
      <w:pPr>
        <w:autoSpaceDE w:val="0"/>
        <w:autoSpaceDN w:val="0"/>
        <w:adjustRightInd w:val="0"/>
        <w:ind w:firstLine="539"/>
        <w:jc w:val="both"/>
        <w:rPr>
          <w:sz w:val="20"/>
          <w:szCs w:val="20"/>
        </w:rPr>
      </w:pPr>
      <w:r w:rsidRPr="002334E3">
        <w:rPr>
          <w:sz w:val="20"/>
          <w:szCs w:val="20"/>
        </w:rPr>
        <w:t>Показатель определяется путем деления объема расходов на содержание работников местного самоуправления на среднегодовую численность постоянного населения МО ГО «Сыктывкар». Данные о расходах на содержание работников органов местного самоуправления соответствуют коду 210 и 266 КОСГУ по соответствующим разделам и подразделам классификации расходов.</w:t>
      </w:r>
    </w:p>
    <w:p w:rsidR="002334E3" w:rsidRPr="002334E3" w:rsidRDefault="002334E3" w:rsidP="002334E3">
      <w:pPr>
        <w:autoSpaceDE w:val="0"/>
        <w:autoSpaceDN w:val="0"/>
        <w:adjustRightInd w:val="0"/>
        <w:ind w:firstLine="539"/>
        <w:jc w:val="both"/>
        <w:rPr>
          <w:sz w:val="20"/>
          <w:szCs w:val="20"/>
        </w:rPr>
      </w:pPr>
      <w:proofErr w:type="gramStart"/>
      <w:r w:rsidRPr="002334E3">
        <w:rPr>
          <w:sz w:val="20"/>
          <w:szCs w:val="20"/>
        </w:rPr>
        <w:t>Увеличение показателя связано со снижением численности населения МО ГО «Сыктывкар», а также с увеличением размеров должностных окладов с 01.07.2022 года, в соответствии с решением Совета МО ГО «Сыктывкар» от 11.08.2022 № 16/2022-250 «О внесении изменений в решение Совета муниципального образования городского округа «Сыктывкар» от 05.12.2008 № 16/12-329 «Об установлении размеров должностных окладов, ежемесячного денежного поощрения и ежемесячных надбавок за классный</w:t>
      </w:r>
      <w:proofErr w:type="gramEnd"/>
      <w:r w:rsidRPr="002334E3">
        <w:rPr>
          <w:sz w:val="20"/>
          <w:szCs w:val="20"/>
        </w:rPr>
        <w:t xml:space="preserve"> чин» и постановлением администрации МО ГО «Сыктывкар» от 29.07.2022 № 7/2273 «О внесении изменений в постановление администрации МО ГО «Сыктывкар» от 12.02.2014 № 2/351».</w:t>
      </w:r>
    </w:p>
    <w:p w:rsidR="00C924DB" w:rsidRPr="002334E3" w:rsidRDefault="00C924DB" w:rsidP="00731028">
      <w:pPr>
        <w:autoSpaceDE w:val="0"/>
        <w:autoSpaceDN w:val="0"/>
        <w:adjustRightInd w:val="0"/>
        <w:ind w:firstLine="539"/>
        <w:jc w:val="both"/>
        <w:rPr>
          <w:sz w:val="20"/>
          <w:szCs w:val="20"/>
        </w:rPr>
      </w:pPr>
      <w:r w:rsidRPr="002334E3">
        <w:rPr>
          <w:i/>
          <w:sz w:val="20"/>
          <w:szCs w:val="20"/>
        </w:rPr>
        <w:t xml:space="preserve">Дебиторская задолженность по неналоговым доходам местного бюджета </w:t>
      </w:r>
      <w:r w:rsidRPr="002334E3">
        <w:rPr>
          <w:sz w:val="20"/>
          <w:szCs w:val="20"/>
        </w:rPr>
        <w:t>в 20</w:t>
      </w:r>
      <w:r w:rsidR="00731028" w:rsidRPr="002334E3">
        <w:rPr>
          <w:sz w:val="20"/>
          <w:szCs w:val="20"/>
        </w:rPr>
        <w:t>2</w:t>
      </w:r>
      <w:r w:rsidR="002334E3" w:rsidRPr="002334E3">
        <w:rPr>
          <w:sz w:val="20"/>
          <w:szCs w:val="20"/>
        </w:rPr>
        <w:t>2</w:t>
      </w:r>
      <w:r w:rsidRPr="002334E3">
        <w:rPr>
          <w:sz w:val="20"/>
          <w:szCs w:val="20"/>
        </w:rPr>
        <w:t xml:space="preserve"> году составила </w:t>
      </w:r>
      <w:r w:rsidR="002334E3" w:rsidRPr="002334E3">
        <w:rPr>
          <w:sz w:val="20"/>
          <w:szCs w:val="20"/>
        </w:rPr>
        <w:t>358 062,7</w:t>
      </w:r>
      <w:r w:rsidRPr="002334E3">
        <w:rPr>
          <w:sz w:val="20"/>
          <w:szCs w:val="20"/>
        </w:rPr>
        <w:t xml:space="preserve"> тысяч рубле</w:t>
      </w:r>
      <w:r w:rsidR="00F12A86" w:rsidRPr="002334E3">
        <w:rPr>
          <w:sz w:val="20"/>
          <w:szCs w:val="20"/>
        </w:rPr>
        <w:t>й</w:t>
      </w:r>
      <w:r w:rsidRPr="002334E3">
        <w:rPr>
          <w:sz w:val="20"/>
          <w:szCs w:val="20"/>
        </w:rPr>
        <w:t xml:space="preserve">, что на </w:t>
      </w:r>
      <w:r w:rsidR="002334E3" w:rsidRPr="002334E3">
        <w:rPr>
          <w:sz w:val="20"/>
          <w:szCs w:val="20"/>
        </w:rPr>
        <w:t>8,9</w:t>
      </w:r>
      <w:r w:rsidRPr="002334E3">
        <w:rPr>
          <w:sz w:val="20"/>
          <w:szCs w:val="20"/>
        </w:rPr>
        <w:t xml:space="preserve">% </w:t>
      </w:r>
      <w:r w:rsidR="00D6013E" w:rsidRPr="002334E3">
        <w:rPr>
          <w:sz w:val="20"/>
          <w:szCs w:val="20"/>
        </w:rPr>
        <w:t>ниже</w:t>
      </w:r>
      <w:r w:rsidRPr="002334E3">
        <w:rPr>
          <w:sz w:val="20"/>
          <w:szCs w:val="20"/>
        </w:rPr>
        <w:t xml:space="preserve"> уровня 20</w:t>
      </w:r>
      <w:r w:rsidR="00D6013E" w:rsidRPr="002334E3">
        <w:rPr>
          <w:sz w:val="20"/>
          <w:szCs w:val="20"/>
        </w:rPr>
        <w:t>2</w:t>
      </w:r>
      <w:r w:rsidR="002334E3" w:rsidRPr="002334E3">
        <w:rPr>
          <w:sz w:val="20"/>
          <w:szCs w:val="20"/>
        </w:rPr>
        <w:t>1</w:t>
      </w:r>
      <w:r w:rsidRPr="002334E3">
        <w:rPr>
          <w:sz w:val="20"/>
          <w:szCs w:val="20"/>
        </w:rPr>
        <w:t xml:space="preserve"> года. </w:t>
      </w:r>
    </w:p>
    <w:p w:rsidR="002334E3" w:rsidRPr="002334E3" w:rsidRDefault="002334E3" w:rsidP="002334E3">
      <w:pPr>
        <w:autoSpaceDE w:val="0"/>
        <w:autoSpaceDN w:val="0"/>
        <w:adjustRightInd w:val="0"/>
        <w:ind w:firstLine="539"/>
        <w:jc w:val="both"/>
        <w:rPr>
          <w:sz w:val="20"/>
          <w:szCs w:val="20"/>
        </w:rPr>
      </w:pPr>
      <w:r w:rsidRPr="002334E3">
        <w:rPr>
          <w:sz w:val="20"/>
          <w:szCs w:val="20"/>
        </w:rPr>
        <w:t>Показатель «</w:t>
      </w:r>
      <w:r w:rsidRPr="002334E3">
        <w:rPr>
          <w:i/>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2334E3">
        <w:rPr>
          <w:sz w:val="20"/>
          <w:szCs w:val="20"/>
        </w:rPr>
        <w:t>» достигнут. Генеральный план утвержден решением Совета МО ГО «Сыктывкар» от 11.12.2009 № 26/12-482.</w:t>
      </w:r>
    </w:p>
    <w:p w:rsidR="002334E3" w:rsidRPr="002334E3" w:rsidRDefault="002334E3" w:rsidP="002334E3">
      <w:pPr>
        <w:autoSpaceDE w:val="0"/>
        <w:autoSpaceDN w:val="0"/>
        <w:adjustRightInd w:val="0"/>
        <w:ind w:firstLine="539"/>
        <w:jc w:val="both"/>
        <w:rPr>
          <w:sz w:val="20"/>
          <w:szCs w:val="20"/>
        </w:rPr>
      </w:pPr>
      <w:r w:rsidRPr="002334E3">
        <w:rPr>
          <w:sz w:val="20"/>
          <w:szCs w:val="20"/>
        </w:rPr>
        <w:t xml:space="preserve">В 2022 году произошло снижение </w:t>
      </w:r>
      <w:r w:rsidRPr="002334E3">
        <w:rPr>
          <w:i/>
          <w:sz w:val="20"/>
          <w:szCs w:val="20"/>
        </w:rPr>
        <w:t>среднегодовой численности населения муниципалитета</w:t>
      </w:r>
      <w:r w:rsidRPr="002334E3">
        <w:rPr>
          <w:sz w:val="20"/>
          <w:szCs w:val="20"/>
        </w:rPr>
        <w:t>. Данные отражены с учетом итогов Всероссийской переписи населения-2020.</w:t>
      </w:r>
    </w:p>
    <w:p w:rsidR="002334E3" w:rsidRPr="002334E3" w:rsidRDefault="002334E3" w:rsidP="002334E3">
      <w:pPr>
        <w:autoSpaceDE w:val="0"/>
        <w:autoSpaceDN w:val="0"/>
        <w:adjustRightInd w:val="0"/>
        <w:ind w:firstLine="539"/>
        <w:jc w:val="both"/>
        <w:rPr>
          <w:sz w:val="20"/>
          <w:szCs w:val="20"/>
        </w:rPr>
      </w:pPr>
      <w:r w:rsidRPr="002334E3">
        <w:rPr>
          <w:sz w:val="20"/>
          <w:szCs w:val="20"/>
        </w:rPr>
        <w:t>Новые вызовы, с которыми столкнулся мир в 2020-2022 гг., определенные пандемией (карантин, ограничения мобильности, тревога заражения, ухудшения общего благополучия и не только), проведением специальной военной операции оказали влияние на демографическую обстановку, социально-экономическое развитие. Указанные факторы отразились в ухудшении практически всех демографических показателей. Часть из них поддается анализу, часть – еще предстоит оценить в перспективе.</w:t>
      </w:r>
    </w:p>
    <w:p w:rsidR="002334E3" w:rsidRPr="002334E3" w:rsidRDefault="002334E3" w:rsidP="002334E3">
      <w:pPr>
        <w:autoSpaceDE w:val="0"/>
        <w:autoSpaceDN w:val="0"/>
        <w:adjustRightInd w:val="0"/>
        <w:ind w:firstLine="539"/>
        <w:jc w:val="both"/>
        <w:rPr>
          <w:sz w:val="20"/>
          <w:szCs w:val="20"/>
        </w:rPr>
      </w:pPr>
      <w:r w:rsidRPr="002334E3">
        <w:rPr>
          <w:sz w:val="20"/>
          <w:szCs w:val="20"/>
        </w:rPr>
        <w:t>Кроме того, в числе причин сокращения рождения детей - снижение числа заключаемых браков при одновременном сохранении тенденции к высокому уровню разводов. Эти три процесса тесно взаимосвязаны, поскольку доминирующей социальной нормой, фиксируемой в социологических опросах населения, является рождение ребенка в браке. Падение же уровня браков наблюдается с 2011 года. Это, в свою очередь, также позволяет прогнозировать снижение рождаемости в последующие годы.</w:t>
      </w:r>
    </w:p>
    <w:p w:rsidR="00D6013E" w:rsidRPr="002334E3" w:rsidRDefault="00D6013E" w:rsidP="00757E46">
      <w:pPr>
        <w:autoSpaceDE w:val="0"/>
        <w:autoSpaceDN w:val="0"/>
        <w:adjustRightInd w:val="0"/>
        <w:ind w:left="72" w:right="72" w:firstLine="567"/>
        <w:jc w:val="both"/>
        <w:rPr>
          <w:sz w:val="20"/>
          <w:szCs w:val="20"/>
        </w:rPr>
      </w:pPr>
    </w:p>
    <w:p w:rsidR="00731028" w:rsidRPr="002334E3" w:rsidRDefault="00731028" w:rsidP="00757E46">
      <w:pPr>
        <w:autoSpaceDE w:val="0"/>
        <w:autoSpaceDN w:val="0"/>
        <w:adjustRightInd w:val="0"/>
        <w:ind w:left="72" w:right="72" w:firstLine="567"/>
        <w:jc w:val="both"/>
        <w:rPr>
          <w:sz w:val="20"/>
          <w:szCs w:val="20"/>
        </w:rPr>
      </w:pPr>
    </w:p>
    <w:p w:rsidR="000C6017" w:rsidRPr="002334E3" w:rsidRDefault="000C6017" w:rsidP="004F45EA">
      <w:pPr>
        <w:autoSpaceDE w:val="0"/>
        <w:autoSpaceDN w:val="0"/>
        <w:adjustRightInd w:val="0"/>
        <w:ind w:left="72" w:right="72" w:firstLine="567"/>
        <w:jc w:val="center"/>
        <w:rPr>
          <w:b/>
          <w:sz w:val="20"/>
          <w:szCs w:val="20"/>
        </w:rPr>
      </w:pPr>
      <w:r w:rsidRPr="002334E3">
        <w:rPr>
          <w:b/>
          <w:sz w:val="20"/>
          <w:szCs w:val="20"/>
        </w:rPr>
        <w:t>9. Энергосбережение и повышение энергетической эффективности</w:t>
      </w:r>
    </w:p>
    <w:p w:rsidR="000C6017" w:rsidRPr="002334E3" w:rsidRDefault="000C6017" w:rsidP="000C6017">
      <w:pPr>
        <w:suppressAutoHyphens/>
        <w:jc w:val="center"/>
        <w:rPr>
          <w:b/>
          <w:sz w:val="20"/>
          <w:szCs w:val="20"/>
          <w:highlight w:val="yellow"/>
        </w:rPr>
      </w:pPr>
    </w:p>
    <w:p w:rsidR="002334E3" w:rsidRPr="002334E3" w:rsidRDefault="002334E3" w:rsidP="002334E3">
      <w:pPr>
        <w:ind w:firstLine="567"/>
        <w:jc w:val="both"/>
        <w:rPr>
          <w:sz w:val="20"/>
          <w:szCs w:val="20"/>
        </w:rPr>
      </w:pPr>
      <w:r w:rsidRPr="002334E3">
        <w:rPr>
          <w:sz w:val="20"/>
          <w:szCs w:val="20"/>
        </w:rPr>
        <w:t>С целью организации рационального потребления коммунальных ресурсов ежегодно формируются лимиты водоснабжения предприятий и организаций города на основании технических характеристик объектов.</w:t>
      </w:r>
    </w:p>
    <w:p w:rsidR="002334E3" w:rsidRPr="002334E3" w:rsidRDefault="002334E3" w:rsidP="002334E3">
      <w:pPr>
        <w:ind w:firstLine="567"/>
        <w:jc w:val="both"/>
        <w:rPr>
          <w:sz w:val="20"/>
          <w:szCs w:val="20"/>
        </w:rPr>
      </w:pPr>
      <w:r w:rsidRPr="002334E3">
        <w:rPr>
          <w:i/>
          <w:iCs/>
          <w:sz w:val="20"/>
          <w:szCs w:val="20"/>
        </w:rPr>
        <w:t>Удельная величина потребления энергетических ресурсов в многоквартирных домах</w:t>
      </w:r>
      <w:r w:rsidRPr="002334E3">
        <w:rPr>
          <w:sz w:val="20"/>
          <w:szCs w:val="20"/>
        </w:rPr>
        <w:t xml:space="preserve"> в 2022 году распределена следующим образом (данные предоставлены ресурсоснабжающими организациями):</w:t>
      </w:r>
    </w:p>
    <w:p w:rsidR="002334E3" w:rsidRPr="002334E3" w:rsidRDefault="002334E3" w:rsidP="002334E3">
      <w:pPr>
        <w:tabs>
          <w:tab w:val="left" w:pos="851"/>
        </w:tabs>
        <w:ind w:firstLine="567"/>
        <w:jc w:val="both"/>
        <w:rPr>
          <w:sz w:val="20"/>
          <w:szCs w:val="20"/>
        </w:rPr>
      </w:pPr>
      <w:r w:rsidRPr="002334E3">
        <w:rPr>
          <w:sz w:val="20"/>
          <w:szCs w:val="20"/>
        </w:rPr>
        <w:t>∙ электрическая энергия – 659,85 кВт*</w:t>
      </w:r>
      <w:proofErr w:type="gramStart"/>
      <w:r w:rsidRPr="002334E3">
        <w:rPr>
          <w:sz w:val="20"/>
          <w:szCs w:val="20"/>
        </w:rPr>
        <w:t>ч</w:t>
      </w:r>
      <w:proofErr w:type="gramEnd"/>
      <w:r w:rsidRPr="002334E3">
        <w:rPr>
          <w:sz w:val="20"/>
          <w:szCs w:val="20"/>
        </w:rPr>
        <w:t xml:space="preserve"> на 1 проживающего;</w:t>
      </w:r>
    </w:p>
    <w:p w:rsidR="002334E3" w:rsidRPr="002334E3" w:rsidRDefault="002334E3" w:rsidP="002334E3">
      <w:pPr>
        <w:tabs>
          <w:tab w:val="left" w:pos="851"/>
        </w:tabs>
        <w:ind w:firstLine="567"/>
        <w:jc w:val="both"/>
        <w:rPr>
          <w:sz w:val="20"/>
          <w:szCs w:val="20"/>
        </w:rPr>
      </w:pPr>
      <w:r w:rsidRPr="002334E3">
        <w:rPr>
          <w:sz w:val="20"/>
          <w:szCs w:val="20"/>
        </w:rPr>
        <w:t>∙ тепловая энергия – 0,21 Гкал на 1 кв</w:t>
      </w:r>
      <w:proofErr w:type="gramStart"/>
      <w:r w:rsidRPr="002334E3">
        <w:rPr>
          <w:sz w:val="20"/>
          <w:szCs w:val="20"/>
        </w:rPr>
        <w:t>.м</w:t>
      </w:r>
      <w:proofErr w:type="gramEnd"/>
      <w:r w:rsidRPr="002334E3">
        <w:rPr>
          <w:sz w:val="20"/>
          <w:szCs w:val="20"/>
        </w:rPr>
        <w:t xml:space="preserve"> общей площади;</w:t>
      </w:r>
    </w:p>
    <w:p w:rsidR="002334E3" w:rsidRPr="002334E3" w:rsidRDefault="002334E3" w:rsidP="002334E3">
      <w:pPr>
        <w:tabs>
          <w:tab w:val="left" w:pos="851"/>
        </w:tabs>
        <w:ind w:firstLine="567"/>
        <w:jc w:val="both"/>
        <w:rPr>
          <w:sz w:val="20"/>
          <w:szCs w:val="20"/>
        </w:rPr>
      </w:pPr>
      <w:r w:rsidRPr="002334E3">
        <w:rPr>
          <w:sz w:val="20"/>
          <w:szCs w:val="20"/>
        </w:rPr>
        <w:t xml:space="preserve">∙ горячая вода – 10,40 м3 на 1 </w:t>
      </w:r>
      <w:proofErr w:type="gramStart"/>
      <w:r w:rsidRPr="002334E3">
        <w:rPr>
          <w:sz w:val="20"/>
          <w:szCs w:val="20"/>
        </w:rPr>
        <w:t>проживающего</w:t>
      </w:r>
      <w:proofErr w:type="gramEnd"/>
      <w:r w:rsidRPr="002334E3">
        <w:rPr>
          <w:sz w:val="20"/>
          <w:szCs w:val="20"/>
        </w:rPr>
        <w:t>;</w:t>
      </w:r>
    </w:p>
    <w:p w:rsidR="002334E3" w:rsidRPr="002334E3" w:rsidRDefault="002334E3" w:rsidP="002334E3">
      <w:pPr>
        <w:tabs>
          <w:tab w:val="left" w:pos="851"/>
        </w:tabs>
        <w:ind w:firstLine="567"/>
        <w:jc w:val="both"/>
        <w:rPr>
          <w:sz w:val="20"/>
          <w:szCs w:val="20"/>
        </w:rPr>
      </w:pPr>
      <w:r w:rsidRPr="002334E3">
        <w:rPr>
          <w:sz w:val="20"/>
          <w:szCs w:val="20"/>
        </w:rPr>
        <w:t xml:space="preserve">∙ холодная вода – 37,29 м3 на 1 </w:t>
      </w:r>
      <w:proofErr w:type="gramStart"/>
      <w:r w:rsidRPr="002334E3">
        <w:rPr>
          <w:sz w:val="20"/>
          <w:szCs w:val="20"/>
        </w:rPr>
        <w:t>проживающего</w:t>
      </w:r>
      <w:proofErr w:type="gramEnd"/>
      <w:r w:rsidRPr="002334E3">
        <w:rPr>
          <w:sz w:val="20"/>
          <w:szCs w:val="20"/>
        </w:rPr>
        <w:t>;</w:t>
      </w:r>
    </w:p>
    <w:p w:rsidR="002334E3" w:rsidRPr="002334E3" w:rsidRDefault="002334E3" w:rsidP="002334E3">
      <w:pPr>
        <w:tabs>
          <w:tab w:val="left" w:pos="851"/>
        </w:tabs>
        <w:ind w:firstLine="567"/>
        <w:jc w:val="both"/>
        <w:rPr>
          <w:sz w:val="20"/>
          <w:szCs w:val="20"/>
        </w:rPr>
      </w:pPr>
      <w:r w:rsidRPr="002334E3">
        <w:rPr>
          <w:sz w:val="20"/>
          <w:szCs w:val="20"/>
        </w:rPr>
        <w:t xml:space="preserve">∙ природный газ – 115,65 м3 на 1 </w:t>
      </w:r>
      <w:proofErr w:type="gramStart"/>
      <w:r w:rsidRPr="002334E3">
        <w:rPr>
          <w:sz w:val="20"/>
          <w:szCs w:val="20"/>
        </w:rPr>
        <w:t>проживающего</w:t>
      </w:r>
      <w:proofErr w:type="gramEnd"/>
      <w:r w:rsidRPr="002334E3">
        <w:rPr>
          <w:sz w:val="20"/>
          <w:szCs w:val="20"/>
        </w:rPr>
        <w:t>.</w:t>
      </w:r>
    </w:p>
    <w:p w:rsidR="002334E3" w:rsidRPr="002334E3" w:rsidRDefault="002334E3" w:rsidP="002334E3">
      <w:pPr>
        <w:ind w:firstLine="567"/>
        <w:jc w:val="both"/>
        <w:rPr>
          <w:sz w:val="20"/>
          <w:szCs w:val="20"/>
        </w:rPr>
      </w:pPr>
      <w:r w:rsidRPr="002334E3">
        <w:rPr>
          <w:sz w:val="20"/>
          <w:szCs w:val="20"/>
        </w:rPr>
        <w:t>Увеличение удельной величины потребления электрической энергии, горячей воды и природного газа в многоквартирных домах (МКД) обусловлено снижением численности населения, в том числе проживающего в МКД.</w:t>
      </w:r>
    </w:p>
    <w:p w:rsidR="002334E3" w:rsidRPr="002334E3" w:rsidRDefault="002334E3" w:rsidP="002334E3">
      <w:pPr>
        <w:ind w:firstLine="567"/>
        <w:jc w:val="both"/>
        <w:rPr>
          <w:sz w:val="20"/>
          <w:szCs w:val="20"/>
        </w:rPr>
      </w:pPr>
      <w:r w:rsidRPr="002334E3">
        <w:rPr>
          <w:sz w:val="20"/>
          <w:szCs w:val="20"/>
        </w:rPr>
        <w:t>Повышение удельной величины тепловой энергии в МКД обусловлено корректировкой данных на основании предоставленных отчетов ресурсоснабжающими организациями.</w:t>
      </w:r>
    </w:p>
    <w:p w:rsidR="002334E3" w:rsidRPr="002334E3" w:rsidRDefault="002334E3" w:rsidP="002334E3">
      <w:pPr>
        <w:ind w:firstLine="567"/>
        <w:jc w:val="both"/>
        <w:rPr>
          <w:sz w:val="20"/>
          <w:szCs w:val="20"/>
        </w:rPr>
      </w:pPr>
      <w:r w:rsidRPr="002334E3">
        <w:rPr>
          <w:sz w:val="20"/>
          <w:szCs w:val="20"/>
        </w:rPr>
        <w:t xml:space="preserve">Незначительное повышение удельной величины холодной воды в многоквартирных домах обусловлено соблюдением </w:t>
      </w:r>
      <w:proofErr w:type="gramStart"/>
      <w:r w:rsidRPr="002334E3">
        <w:rPr>
          <w:sz w:val="20"/>
          <w:szCs w:val="20"/>
        </w:rPr>
        <w:t>проживающими</w:t>
      </w:r>
      <w:proofErr w:type="gramEnd"/>
      <w:r w:rsidRPr="002334E3">
        <w:rPr>
          <w:sz w:val="20"/>
          <w:szCs w:val="20"/>
        </w:rPr>
        <w:t xml:space="preserve"> в МКД мер по профилактике новой </w:t>
      </w:r>
      <w:proofErr w:type="spellStart"/>
      <w:r w:rsidRPr="002334E3">
        <w:rPr>
          <w:sz w:val="20"/>
          <w:szCs w:val="20"/>
        </w:rPr>
        <w:t>коронавирусной</w:t>
      </w:r>
      <w:proofErr w:type="spellEnd"/>
      <w:r w:rsidRPr="002334E3">
        <w:rPr>
          <w:sz w:val="20"/>
          <w:szCs w:val="20"/>
        </w:rPr>
        <w:t xml:space="preserve"> инфекции.</w:t>
      </w:r>
    </w:p>
    <w:p w:rsidR="002334E3" w:rsidRPr="002334E3" w:rsidRDefault="002334E3" w:rsidP="002334E3">
      <w:pPr>
        <w:ind w:firstLine="567"/>
        <w:jc w:val="both"/>
        <w:rPr>
          <w:sz w:val="20"/>
          <w:szCs w:val="20"/>
        </w:rPr>
      </w:pPr>
      <w:r w:rsidRPr="002334E3">
        <w:rPr>
          <w:sz w:val="20"/>
          <w:szCs w:val="20"/>
        </w:rPr>
        <w:t>Удельная величина потребления энергетических ресурсов в муниципальных бюджетных учреждениях в 2022 году составила:</w:t>
      </w:r>
    </w:p>
    <w:p w:rsidR="002334E3" w:rsidRPr="002334E3" w:rsidRDefault="002334E3" w:rsidP="002334E3">
      <w:pPr>
        <w:ind w:firstLine="567"/>
        <w:jc w:val="both"/>
        <w:rPr>
          <w:sz w:val="20"/>
          <w:szCs w:val="20"/>
        </w:rPr>
      </w:pPr>
      <w:r w:rsidRPr="002334E3">
        <w:rPr>
          <w:sz w:val="20"/>
          <w:szCs w:val="20"/>
        </w:rPr>
        <w:t>∙ электрическая энергия – 58,71 кВт*</w:t>
      </w:r>
      <w:proofErr w:type="gramStart"/>
      <w:r w:rsidRPr="002334E3">
        <w:rPr>
          <w:sz w:val="20"/>
          <w:szCs w:val="20"/>
        </w:rPr>
        <w:t>ч</w:t>
      </w:r>
      <w:proofErr w:type="gramEnd"/>
      <w:r w:rsidRPr="002334E3">
        <w:rPr>
          <w:sz w:val="20"/>
          <w:szCs w:val="20"/>
        </w:rPr>
        <w:t xml:space="preserve"> на 1 человека населения;</w:t>
      </w:r>
    </w:p>
    <w:p w:rsidR="002334E3" w:rsidRPr="002334E3" w:rsidRDefault="002334E3" w:rsidP="002334E3">
      <w:pPr>
        <w:ind w:firstLine="567"/>
        <w:jc w:val="both"/>
        <w:rPr>
          <w:sz w:val="20"/>
          <w:szCs w:val="20"/>
        </w:rPr>
      </w:pPr>
      <w:r w:rsidRPr="002334E3">
        <w:rPr>
          <w:sz w:val="20"/>
          <w:szCs w:val="20"/>
        </w:rPr>
        <w:t>∙ тепловая энергия – 0,27 Гкал на 1 кв</w:t>
      </w:r>
      <w:proofErr w:type="gramStart"/>
      <w:r w:rsidRPr="002334E3">
        <w:rPr>
          <w:sz w:val="20"/>
          <w:szCs w:val="20"/>
        </w:rPr>
        <w:t>.м</w:t>
      </w:r>
      <w:proofErr w:type="gramEnd"/>
      <w:r w:rsidRPr="002334E3">
        <w:rPr>
          <w:sz w:val="20"/>
          <w:szCs w:val="20"/>
        </w:rPr>
        <w:t xml:space="preserve"> общей площади;</w:t>
      </w:r>
    </w:p>
    <w:p w:rsidR="002334E3" w:rsidRPr="002334E3" w:rsidRDefault="002334E3" w:rsidP="002334E3">
      <w:pPr>
        <w:ind w:firstLine="567"/>
        <w:jc w:val="both"/>
        <w:rPr>
          <w:sz w:val="20"/>
          <w:szCs w:val="20"/>
        </w:rPr>
      </w:pPr>
      <w:r w:rsidRPr="002334E3">
        <w:rPr>
          <w:sz w:val="20"/>
          <w:szCs w:val="20"/>
        </w:rPr>
        <w:t>∙ горячая вода – 0,68 м3 на 1 человека населения;</w:t>
      </w:r>
    </w:p>
    <w:p w:rsidR="002334E3" w:rsidRPr="002334E3" w:rsidRDefault="002334E3" w:rsidP="002334E3">
      <w:pPr>
        <w:ind w:firstLine="567"/>
        <w:jc w:val="both"/>
        <w:rPr>
          <w:sz w:val="20"/>
          <w:szCs w:val="20"/>
        </w:rPr>
      </w:pPr>
      <w:r w:rsidRPr="002334E3">
        <w:rPr>
          <w:sz w:val="20"/>
          <w:szCs w:val="20"/>
        </w:rPr>
        <w:t>∙ холодная вода – 1,11 м3 на 1 человека населения;</w:t>
      </w:r>
    </w:p>
    <w:p w:rsidR="002334E3" w:rsidRPr="002334E3" w:rsidRDefault="002334E3" w:rsidP="002334E3">
      <w:pPr>
        <w:ind w:firstLine="567"/>
        <w:jc w:val="both"/>
        <w:rPr>
          <w:sz w:val="20"/>
          <w:szCs w:val="20"/>
        </w:rPr>
      </w:pPr>
      <w:r w:rsidRPr="002334E3">
        <w:rPr>
          <w:sz w:val="20"/>
          <w:szCs w:val="20"/>
        </w:rPr>
        <w:t>∙ природный газ – 0,51 м3 на 1 человека населения.</w:t>
      </w:r>
    </w:p>
    <w:p w:rsidR="002334E3" w:rsidRPr="002334E3" w:rsidRDefault="002334E3" w:rsidP="002334E3">
      <w:pPr>
        <w:ind w:firstLine="567"/>
        <w:jc w:val="both"/>
        <w:rPr>
          <w:sz w:val="20"/>
          <w:szCs w:val="20"/>
        </w:rPr>
      </w:pPr>
      <w:r w:rsidRPr="002334E3">
        <w:rPr>
          <w:sz w:val="20"/>
          <w:szCs w:val="20"/>
        </w:rPr>
        <w:t>Незначительное увеличение удельной величины потребления электрической энергии, горячей воды и природного газа обусловлено снижением численности населения.</w:t>
      </w:r>
    </w:p>
    <w:p w:rsidR="002334E3" w:rsidRPr="002334E3" w:rsidRDefault="002334E3" w:rsidP="002334E3">
      <w:pPr>
        <w:ind w:firstLine="567"/>
        <w:jc w:val="both"/>
        <w:rPr>
          <w:sz w:val="20"/>
          <w:szCs w:val="20"/>
        </w:rPr>
      </w:pPr>
      <w:r w:rsidRPr="002334E3">
        <w:rPr>
          <w:sz w:val="20"/>
          <w:szCs w:val="20"/>
        </w:rPr>
        <w:lastRenderedPageBreak/>
        <w:t xml:space="preserve">Уменьшение потребления холодной воды муниципальными бюджетными учреждениями обусловлено проведением бюджетными учреждениями </w:t>
      </w:r>
      <w:proofErr w:type="spellStart"/>
      <w:r w:rsidRPr="002334E3">
        <w:rPr>
          <w:sz w:val="20"/>
          <w:szCs w:val="20"/>
        </w:rPr>
        <w:t>энергоэффективных</w:t>
      </w:r>
      <w:proofErr w:type="spellEnd"/>
      <w:r w:rsidRPr="002334E3">
        <w:rPr>
          <w:sz w:val="20"/>
          <w:szCs w:val="20"/>
        </w:rPr>
        <w:t xml:space="preserve"> мероприятий по снижению потребления ресурса.</w:t>
      </w:r>
    </w:p>
    <w:p w:rsidR="002334E3" w:rsidRPr="002334E3" w:rsidRDefault="002334E3" w:rsidP="002334E3">
      <w:pPr>
        <w:ind w:firstLine="567"/>
        <w:jc w:val="both"/>
        <w:rPr>
          <w:sz w:val="20"/>
          <w:szCs w:val="20"/>
        </w:rPr>
      </w:pPr>
      <w:r w:rsidRPr="002334E3">
        <w:rPr>
          <w:sz w:val="20"/>
          <w:szCs w:val="20"/>
        </w:rPr>
        <w:t>Снижение удельной величины потребления тепловой энергии муниципальными бюджетными учреждениями обусловлено выполнением мероприятий по энергосбережению.</w:t>
      </w:r>
      <w:r w:rsidR="001A294F">
        <w:rPr>
          <w:sz w:val="20"/>
          <w:szCs w:val="20"/>
        </w:rPr>
        <w:t>».</w:t>
      </w:r>
      <w:bookmarkStart w:id="2" w:name="_GoBack"/>
      <w:bookmarkEnd w:id="2"/>
    </w:p>
    <w:p w:rsidR="007E57E0" w:rsidRPr="00685A59" w:rsidRDefault="007E57E0" w:rsidP="006A48C3">
      <w:pPr>
        <w:ind w:firstLine="567"/>
        <w:jc w:val="both"/>
        <w:rPr>
          <w:rFonts w:eastAsia="Times New Roman"/>
          <w:sz w:val="20"/>
          <w:szCs w:val="20"/>
          <w:highlight w:val="yellow"/>
        </w:rPr>
      </w:pPr>
    </w:p>
    <w:sectPr w:rsidR="007E57E0" w:rsidRPr="00685A59" w:rsidSect="00C05295">
      <w:pgSz w:w="11906" w:h="16838"/>
      <w:pgMar w:top="284" w:right="737" w:bottom="567" w:left="1418" w:header="27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FD" w:rsidRDefault="001F5DFD" w:rsidP="000F0951">
      <w:r>
        <w:separator/>
      </w:r>
    </w:p>
  </w:endnote>
  <w:endnote w:type="continuationSeparator" w:id="0">
    <w:p w:rsidR="001F5DFD" w:rsidRDefault="001F5DFD" w:rsidP="000F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E" w:rsidRDefault="00BD602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E" w:rsidRDefault="00BD602E">
    <w:pPr>
      <w:pStyle w:val="af0"/>
      <w:jc w:val="right"/>
    </w:pPr>
  </w:p>
  <w:p w:rsidR="00BD602E" w:rsidRDefault="00BD602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E" w:rsidRDefault="00BD60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FD" w:rsidRDefault="001F5DFD" w:rsidP="000F0951">
      <w:r>
        <w:separator/>
      </w:r>
    </w:p>
  </w:footnote>
  <w:footnote w:type="continuationSeparator" w:id="0">
    <w:p w:rsidR="001F5DFD" w:rsidRDefault="001F5DFD" w:rsidP="000F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E" w:rsidRDefault="00BD602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E" w:rsidRDefault="00BD602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E" w:rsidRDefault="00BD602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2E4112"/>
    <w:name w:val="WW8Num1"/>
    <w:lvl w:ilvl="0">
      <w:start w:val="1"/>
      <w:numFmt w:val="decimal"/>
      <w:lvlText w:val="%1."/>
      <w:lvlJc w:val="left"/>
      <w:pPr>
        <w:tabs>
          <w:tab w:val="num" w:pos="1080"/>
        </w:tabs>
        <w:ind w:left="1080" w:hanging="360"/>
      </w:pPr>
      <w:rPr>
        <w:b w:val="0"/>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502"/>
        </w:tabs>
        <w:ind w:left="502"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1"/>
    <w:multiLevelType w:val="multilevel"/>
    <w:tmpl w:val="00000011"/>
    <w:name w:val="WW8Num17"/>
    <w:lvl w:ilvl="0">
      <w:start w:val="3"/>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11470339"/>
    <w:multiLevelType w:val="hybridMultilevel"/>
    <w:tmpl w:val="8C844B78"/>
    <w:lvl w:ilvl="0" w:tplc="C1D81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72293"/>
    <w:multiLevelType w:val="hybridMultilevel"/>
    <w:tmpl w:val="422022D2"/>
    <w:lvl w:ilvl="0" w:tplc="C1D81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F83D6B"/>
    <w:multiLevelType w:val="hybridMultilevel"/>
    <w:tmpl w:val="0540E218"/>
    <w:lvl w:ilvl="0" w:tplc="C1D81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DE3FE5"/>
    <w:multiLevelType w:val="hybridMultilevel"/>
    <w:tmpl w:val="55FAB884"/>
    <w:lvl w:ilvl="0" w:tplc="202A5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330909"/>
    <w:multiLevelType w:val="hybridMultilevel"/>
    <w:tmpl w:val="86F84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043CE5"/>
    <w:multiLevelType w:val="hybridMultilevel"/>
    <w:tmpl w:val="F5B4A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95"/>
    <w:rsid w:val="00000CFB"/>
    <w:rsid w:val="00002F8D"/>
    <w:rsid w:val="00005F7C"/>
    <w:rsid w:val="00006147"/>
    <w:rsid w:val="00013C88"/>
    <w:rsid w:val="000142A3"/>
    <w:rsid w:val="0001435E"/>
    <w:rsid w:val="00014BEA"/>
    <w:rsid w:val="00014C5D"/>
    <w:rsid w:val="00016051"/>
    <w:rsid w:val="00023136"/>
    <w:rsid w:val="00023751"/>
    <w:rsid w:val="000241E8"/>
    <w:rsid w:val="0002460E"/>
    <w:rsid w:val="00026BAE"/>
    <w:rsid w:val="00027761"/>
    <w:rsid w:val="00027EB6"/>
    <w:rsid w:val="00027EE9"/>
    <w:rsid w:val="00031FCA"/>
    <w:rsid w:val="00033ED6"/>
    <w:rsid w:val="000405ED"/>
    <w:rsid w:val="00045067"/>
    <w:rsid w:val="00047446"/>
    <w:rsid w:val="00050385"/>
    <w:rsid w:val="000570E0"/>
    <w:rsid w:val="0005774D"/>
    <w:rsid w:val="00061A1F"/>
    <w:rsid w:val="00064C53"/>
    <w:rsid w:val="00064F84"/>
    <w:rsid w:val="00073D45"/>
    <w:rsid w:val="00076BF9"/>
    <w:rsid w:val="00081B7C"/>
    <w:rsid w:val="000830C9"/>
    <w:rsid w:val="00086785"/>
    <w:rsid w:val="00087433"/>
    <w:rsid w:val="00087F0C"/>
    <w:rsid w:val="000900C6"/>
    <w:rsid w:val="0009477C"/>
    <w:rsid w:val="00094A6F"/>
    <w:rsid w:val="0009632C"/>
    <w:rsid w:val="00096F2F"/>
    <w:rsid w:val="000A12DC"/>
    <w:rsid w:val="000A1ABD"/>
    <w:rsid w:val="000A322F"/>
    <w:rsid w:val="000A4DFE"/>
    <w:rsid w:val="000A5581"/>
    <w:rsid w:val="000A573B"/>
    <w:rsid w:val="000B6FE9"/>
    <w:rsid w:val="000C1DFF"/>
    <w:rsid w:val="000C6017"/>
    <w:rsid w:val="000C6AAF"/>
    <w:rsid w:val="000C7F02"/>
    <w:rsid w:val="000D1C0A"/>
    <w:rsid w:val="000D390D"/>
    <w:rsid w:val="000D4B86"/>
    <w:rsid w:val="000D4BAC"/>
    <w:rsid w:val="000E09B5"/>
    <w:rsid w:val="000E106A"/>
    <w:rsid w:val="000E6FF1"/>
    <w:rsid w:val="000E780E"/>
    <w:rsid w:val="000E7A3C"/>
    <w:rsid w:val="000F0951"/>
    <w:rsid w:val="000F0B80"/>
    <w:rsid w:val="000F4240"/>
    <w:rsid w:val="000F5765"/>
    <w:rsid w:val="001003D0"/>
    <w:rsid w:val="00102FE6"/>
    <w:rsid w:val="00107D6A"/>
    <w:rsid w:val="00112C12"/>
    <w:rsid w:val="00112DA5"/>
    <w:rsid w:val="00115792"/>
    <w:rsid w:val="00116131"/>
    <w:rsid w:val="001202BD"/>
    <w:rsid w:val="001202D7"/>
    <w:rsid w:val="00123961"/>
    <w:rsid w:val="00124E8D"/>
    <w:rsid w:val="001278A5"/>
    <w:rsid w:val="00131267"/>
    <w:rsid w:val="001323B1"/>
    <w:rsid w:val="00135947"/>
    <w:rsid w:val="00135E5B"/>
    <w:rsid w:val="001476DC"/>
    <w:rsid w:val="001545DB"/>
    <w:rsid w:val="00156BDF"/>
    <w:rsid w:val="00164813"/>
    <w:rsid w:val="00166677"/>
    <w:rsid w:val="00167515"/>
    <w:rsid w:val="00167D5F"/>
    <w:rsid w:val="00172780"/>
    <w:rsid w:val="00173898"/>
    <w:rsid w:val="00176414"/>
    <w:rsid w:val="00176A87"/>
    <w:rsid w:val="001800C3"/>
    <w:rsid w:val="001820C1"/>
    <w:rsid w:val="00183A46"/>
    <w:rsid w:val="001909ED"/>
    <w:rsid w:val="00192B53"/>
    <w:rsid w:val="001943A6"/>
    <w:rsid w:val="001951FA"/>
    <w:rsid w:val="00195EF1"/>
    <w:rsid w:val="001A246F"/>
    <w:rsid w:val="001A294F"/>
    <w:rsid w:val="001A564E"/>
    <w:rsid w:val="001A7AE9"/>
    <w:rsid w:val="001B063A"/>
    <w:rsid w:val="001B5BE6"/>
    <w:rsid w:val="001C13DA"/>
    <w:rsid w:val="001C1D24"/>
    <w:rsid w:val="001C7119"/>
    <w:rsid w:val="001D25D2"/>
    <w:rsid w:val="001E22DB"/>
    <w:rsid w:val="001E511D"/>
    <w:rsid w:val="001F013D"/>
    <w:rsid w:val="001F01EF"/>
    <w:rsid w:val="001F0CBC"/>
    <w:rsid w:val="001F5DFD"/>
    <w:rsid w:val="001F64D8"/>
    <w:rsid w:val="002005FC"/>
    <w:rsid w:val="002042AD"/>
    <w:rsid w:val="00205691"/>
    <w:rsid w:val="0020629C"/>
    <w:rsid w:val="00207166"/>
    <w:rsid w:val="00211883"/>
    <w:rsid w:val="002137BA"/>
    <w:rsid w:val="002145CF"/>
    <w:rsid w:val="002172A9"/>
    <w:rsid w:val="00217BBA"/>
    <w:rsid w:val="0022010A"/>
    <w:rsid w:val="00220DC9"/>
    <w:rsid w:val="0022153D"/>
    <w:rsid w:val="00221A3E"/>
    <w:rsid w:val="00221FBE"/>
    <w:rsid w:val="00223C69"/>
    <w:rsid w:val="00224646"/>
    <w:rsid w:val="0022733E"/>
    <w:rsid w:val="00227844"/>
    <w:rsid w:val="002334E3"/>
    <w:rsid w:val="00233E81"/>
    <w:rsid w:val="00235645"/>
    <w:rsid w:val="00237949"/>
    <w:rsid w:val="00243145"/>
    <w:rsid w:val="002447E8"/>
    <w:rsid w:val="002477D1"/>
    <w:rsid w:val="00250E54"/>
    <w:rsid w:val="0025143C"/>
    <w:rsid w:val="0025181F"/>
    <w:rsid w:val="00251F03"/>
    <w:rsid w:val="00252769"/>
    <w:rsid w:val="00252B08"/>
    <w:rsid w:val="00253541"/>
    <w:rsid w:val="00253725"/>
    <w:rsid w:val="00257B36"/>
    <w:rsid w:val="00262B7D"/>
    <w:rsid w:val="00262DFC"/>
    <w:rsid w:val="0026338E"/>
    <w:rsid w:val="0026623F"/>
    <w:rsid w:val="00266371"/>
    <w:rsid w:val="00267234"/>
    <w:rsid w:val="002674E6"/>
    <w:rsid w:val="00270410"/>
    <w:rsid w:val="00271278"/>
    <w:rsid w:val="00271DEE"/>
    <w:rsid w:val="00271E6E"/>
    <w:rsid w:val="00272C1C"/>
    <w:rsid w:val="00272D79"/>
    <w:rsid w:val="00276485"/>
    <w:rsid w:val="00276976"/>
    <w:rsid w:val="00277B76"/>
    <w:rsid w:val="00280821"/>
    <w:rsid w:val="00280F19"/>
    <w:rsid w:val="00280FA4"/>
    <w:rsid w:val="00286577"/>
    <w:rsid w:val="00287F5B"/>
    <w:rsid w:val="00290064"/>
    <w:rsid w:val="00290DBA"/>
    <w:rsid w:val="00292A47"/>
    <w:rsid w:val="00293EEE"/>
    <w:rsid w:val="00295C99"/>
    <w:rsid w:val="002977B6"/>
    <w:rsid w:val="002A359C"/>
    <w:rsid w:val="002A403F"/>
    <w:rsid w:val="002A58F7"/>
    <w:rsid w:val="002B140A"/>
    <w:rsid w:val="002B3C11"/>
    <w:rsid w:val="002B3D85"/>
    <w:rsid w:val="002B7546"/>
    <w:rsid w:val="002C48E1"/>
    <w:rsid w:val="002C4F9D"/>
    <w:rsid w:val="002C547A"/>
    <w:rsid w:val="002C70A5"/>
    <w:rsid w:val="002D268A"/>
    <w:rsid w:val="002D4DC6"/>
    <w:rsid w:val="002E00DB"/>
    <w:rsid w:val="002E10BA"/>
    <w:rsid w:val="002E21F1"/>
    <w:rsid w:val="002E77E4"/>
    <w:rsid w:val="002F00EF"/>
    <w:rsid w:val="002F1D3E"/>
    <w:rsid w:val="002F1DC9"/>
    <w:rsid w:val="002F25E4"/>
    <w:rsid w:val="003013FB"/>
    <w:rsid w:val="0030472D"/>
    <w:rsid w:val="00307232"/>
    <w:rsid w:val="00311342"/>
    <w:rsid w:val="00311CD0"/>
    <w:rsid w:val="003153B4"/>
    <w:rsid w:val="00322C36"/>
    <w:rsid w:val="003272FC"/>
    <w:rsid w:val="00332F5E"/>
    <w:rsid w:val="00333736"/>
    <w:rsid w:val="00333F79"/>
    <w:rsid w:val="003359DA"/>
    <w:rsid w:val="00343238"/>
    <w:rsid w:val="00344441"/>
    <w:rsid w:val="00344FF2"/>
    <w:rsid w:val="0034600A"/>
    <w:rsid w:val="003460EB"/>
    <w:rsid w:val="003461BE"/>
    <w:rsid w:val="003465A9"/>
    <w:rsid w:val="0034763F"/>
    <w:rsid w:val="00347FA4"/>
    <w:rsid w:val="00350106"/>
    <w:rsid w:val="00356377"/>
    <w:rsid w:val="00357845"/>
    <w:rsid w:val="00361CDD"/>
    <w:rsid w:val="003633D8"/>
    <w:rsid w:val="00367066"/>
    <w:rsid w:val="003673BA"/>
    <w:rsid w:val="0037066C"/>
    <w:rsid w:val="003744C7"/>
    <w:rsid w:val="003817CA"/>
    <w:rsid w:val="003864E6"/>
    <w:rsid w:val="00387EF3"/>
    <w:rsid w:val="003900E5"/>
    <w:rsid w:val="003908C7"/>
    <w:rsid w:val="0039094E"/>
    <w:rsid w:val="00390C27"/>
    <w:rsid w:val="00392600"/>
    <w:rsid w:val="0039473D"/>
    <w:rsid w:val="00394E7C"/>
    <w:rsid w:val="0039517E"/>
    <w:rsid w:val="003962FD"/>
    <w:rsid w:val="00396EBD"/>
    <w:rsid w:val="003A0B77"/>
    <w:rsid w:val="003A1DBD"/>
    <w:rsid w:val="003B1B32"/>
    <w:rsid w:val="003B3742"/>
    <w:rsid w:val="003B400A"/>
    <w:rsid w:val="003B467F"/>
    <w:rsid w:val="003B46F4"/>
    <w:rsid w:val="003C0BBA"/>
    <w:rsid w:val="003C1BB6"/>
    <w:rsid w:val="003C2667"/>
    <w:rsid w:val="003C3D60"/>
    <w:rsid w:val="003C7B58"/>
    <w:rsid w:val="003D0DF2"/>
    <w:rsid w:val="003D16A7"/>
    <w:rsid w:val="003D1BB8"/>
    <w:rsid w:val="003D2CAC"/>
    <w:rsid w:val="003D2EAC"/>
    <w:rsid w:val="003D3DA3"/>
    <w:rsid w:val="003D3EAB"/>
    <w:rsid w:val="003D6937"/>
    <w:rsid w:val="003E25E5"/>
    <w:rsid w:val="003E2F89"/>
    <w:rsid w:val="003E5871"/>
    <w:rsid w:val="003E6148"/>
    <w:rsid w:val="003E79E4"/>
    <w:rsid w:val="003F2192"/>
    <w:rsid w:val="003F3463"/>
    <w:rsid w:val="003F4C5B"/>
    <w:rsid w:val="003F5641"/>
    <w:rsid w:val="003F5971"/>
    <w:rsid w:val="003F6114"/>
    <w:rsid w:val="00400D14"/>
    <w:rsid w:val="00401ADB"/>
    <w:rsid w:val="004068D0"/>
    <w:rsid w:val="0040696A"/>
    <w:rsid w:val="004124AB"/>
    <w:rsid w:val="00412D06"/>
    <w:rsid w:val="00412DC2"/>
    <w:rsid w:val="0041375F"/>
    <w:rsid w:val="00413FB2"/>
    <w:rsid w:val="00414907"/>
    <w:rsid w:val="004149AD"/>
    <w:rsid w:val="00414A0E"/>
    <w:rsid w:val="00417174"/>
    <w:rsid w:val="00421736"/>
    <w:rsid w:val="004233B1"/>
    <w:rsid w:val="004248A9"/>
    <w:rsid w:val="00425246"/>
    <w:rsid w:val="004279F1"/>
    <w:rsid w:val="004309D3"/>
    <w:rsid w:val="00430F0C"/>
    <w:rsid w:val="00432DFC"/>
    <w:rsid w:val="0043619C"/>
    <w:rsid w:val="004368B4"/>
    <w:rsid w:val="00440819"/>
    <w:rsid w:val="004421FA"/>
    <w:rsid w:val="00443B5D"/>
    <w:rsid w:val="00443F5B"/>
    <w:rsid w:val="004463EF"/>
    <w:rsid w:val="00447677"/>
    <w:rsid w:val="004531BF"/>
    <w:rsid w:val="004537FC"/>
    <w:rsid w:val="004557BB"/>
    <w:rsid w:val="00461956"/>
    <w:rsid w:val="0046263D"/>
    <w:rsid w:val="00465C97"/>
    <w:rsid w:val="00471D19"/>
    <w:rsid w:val="00471ECE"/>
    <w:rsid w:val="004720F9"/>
    <w:rsid w:val="00474C6A"/>
    <w:rsid w:val="00475FB4"/>
    <w:rsid w:val="00476008"/>
    <w:rsid w:val="004773FD"/>
    <w:rsid w:val="00477889"/>
    <w:rsid w:val="0048240C"/>
    <w:rsid w:val="00491C28"/>
    <w:rsid w:val="00491CC9"/>
    <w:rsid w:val="00492726"/>
    <w:rsid w:val="00492E1D"/>
    <w:rsid w:val="00494E05"/>
    <w:rsid w:val="004A1026"/>
    <w:rsid w:val="004A14A5"/>
    <w:rsid w:val="004A2BE7"/>
    <w:rsid w:val="004A2F53"/>
    <w:rsid w:val="004A3814"/>
    <w:rsid w:val="004A3AB2"/>
    <w:rsid w:val="004A45CF"/>
    <w:rsid w:val="004A5521"/>
    <w:rsid w:val="004A5F0C"/>
    <w:rsid w:val="004A7B3D"/>
    <w:rsid w:val="004B1584"/>
    <w:rsid w:val="004B1BE9"/>
    <w:rsid w:val="004B3708"/>
    <w:rsid w:val="004B6C56"/>
    <w:rsid w:val="004C04B6"/>
    <w:rsid w:val="004C15EC"/>
    <w:rsid w:val="004C21D4"/>
    <w:rsid w:val="004C3C40"/>
    <w:rsid w:val="004C5DC1"/>
    <w:rsid w:val="004C5E88"/>
    <w:rsid w:val="004C6367"/>
    <w:rsid w:val="004C63A5"/>
    <w:rsid w:val="004D0F26"/>
    <w:rsid w:val="004D0F77"/>
    <w:rsid w:val="004D10D8"/>
    <w:rsid w:val="004D13BD"/>
    <w:rsid w:val="004D1C45"/>
    <w:rsid w:val="004D21EA"/>
    <w:rsid w:val="004D286A"/>
    <w:rsid w:val="004D5437"/>
    <w:rsid w:val="004E2E38"/>
    <w:rsid w:val="004E628F"/>
    <w:rsid w:val="004E6622"/>
    <w:rsid w:val="004F1ED1"/>
    <w:rsid w:val="004F30CF"/>
    <w:rsid w:val="004F45EA"/>
    <w:rsid w:val="004F670C"/>
    <w:rsid w:val="004F6C90"/>
    <w:rsid w:val="0050047E"/>
    <w:rsid w:val="005019C3"/>
    <w:rsid w:val="00502EB6"/>
    <w:rsid w:val="00503AB9"/>
    <w:rsid w:val="005052FB"/>
    <w:rsid w:val="0051235A"/>
    <w:rsid w:val="0051235C"/>
    <w:rsid w:val="00512A48"/>
    <w:rsid w:val="00516016"/>
    <w:rsid w:val="005210F7"/>
    <w:rsid w:val="0052121A"/>
    <w:rsid w:val="00522E74"/>
    <w:rsid w:val="00532288"/>
    <w:rsid w:val="00536B25"/>
    <w:rsid w:val="00537CDC"/>
    <w:rsid w:val="0054103B"/>
    <w:rsid w:val="005410DF"/>
    <w:rsid w:val="005422DF"/>
    <w:rsid w:val="005451B1"/>
    <w:rsid w:val="00545294"/>
    <w:rsid w:val="00554A4F"/>
    <w:rsid w:val="00555172"/>
    <w:rsid w:val="0056121A"/>
    <w:rsid w:val="005630F9"/>
    <w:rsid w:val="005664A3"/>
    <w:rsid w:val="00570A31"/>
    <w:rsid w:val="005724D9"/>
    <w:rsid w:val="005729C5"/>
    <w:rsid w:val="00576F5A"/>
    <w:rsid w:val="00577CB8"/>
    <w:rsid w:val="0058186C"/>
    <w:rsid w:val="005838B5"/>
    <w:rsid w:val="00584F38"/>
    <w:rsid w:val="005925BD"/>
    <w:rsid w:val="00593560"/>
    <w:rsid w:val="00594E72"/>
    <w:rsid w:val="005950B1"/>
    <w:rsid w:val="005961EC"/>
    <w:rsid w:val="00596F42"/>
    <w:rsid w:val="00597758"/>
    <w:rsid w:val="005A152A"/>
    <w:rsid w:val="005A1ECE"/>
    <w:rsid w:val="005A4C62"/>
    <w:rsid w:val="005A63FC"/>
    <w:rsid w:val="005B12E1"/>
    <w:rsid w:val="005B14F3"/>
    <w:rsid w:val="005B1A53"/>
    <w:rsid w:val="005B2D1D"/>
    <w:rsid w:val="005B44AF"/>
    <w:rsid w:val="005B4787"/>
    <w:rsid w:val="005B54C1"/>
    <w:rsid w:val="005B5E94"/>
    <w:rsid w:val="005C1BB4"/>
    <w:rsid w:val="005C5321"/>
    <w:rsid w:val="005D5EBA"/>
    <w:rsid w:val="005D635D"/>
    <w:rsid w:val="005D7E65"/>
    <w:rsid w:val="005E1757"/>
    <w:rsid w:val="005E26AB"/>
    <w:rsid w:val="005E2BE7"/>
    <w:rsid w:val="005E3E2A"/>
    <w:rsid w:val="005E5FD5"/>
    <w:rsid w:val="005E7439"/>
    <w:rsid w:val="005F1314"/>
    <w:rsid w:val="005F3387"/>
    <w:rsid w:val="005F3DE8"/>
    <w:rsid w:val="005F4FC6"/>
    <w:rsid w:val="005F5144"/>
    <w:rsid w:val="005F51C7"/>
    <w:rsid w:val="005F5FE9"/>
    <w:rsid w:val="005F6A5B"/>
    <w:rsid w:val="005F6D5A"/>
    <w:rsid w:val="00601EA6"/>
    <w:rsid w:val="00601EC9"/>
    <w:rsid w:val="00602CE4"/>
    <w:rsid w:val="00605D7C"/>
    <w:rsid w:val="0060709F"/>
    <w:rsid w:val="00611190"/>
    <w:rsid w:val="00611ECF"/>
    <w:rsid w:val="00612ED9"/>
    <w:rsid w:val="00617AA8"/>
    <w:rsid w:val="0062006C"/>
    <w:rsid w:val="00622D8C"/>
    <w:rsid w:val="0062394D"/>
    <w:rsid w:val="00627F1B"/>
    <w:rsid w:val="00630056"/>
    <w:rsid w:val="006306B9"/>
    <w:rsid w:val="00632482"/>
    <w:rsid w:val="006326AB"/>
    <w:rsid w:val="00635F48"/>
    <w:rsid w:val="0063718A"/>
    <w:rsid w:val="0064032D"/>
    <w:rsid w:val="0064319B"/>
    <w:rsid w:val="0065580A"/>
    <w:rsid w:val="0065648E"/>
    <w:rsid w:val="006566DE"/>
    <w:rsid w:val="00656891"/>
    <w:rsid w:val="0065715C"/>
    <w:rsid w:val="00657F6D"/>
    <w:rsid w:val="00666CA8"/>
    <w:rsid w:val="006735D1"/>
    <w:rsid w:val="0067575F"/>
    <w:rsid w:val="00675A0B"/>
    <w:rsid w:val="00676700"/>
    <w:rsid w:val="00677297"/>
    <w:rsid w:val="00677B31"/>
    <w:rsid w:val="006800A9"/>
    <w:rsid w:val="00682E81"/>
    <w:rsid w:val="006839C9"/>
    <w:rsid w:val="00684E2F"/>
    <w:rsid w:val="00684F80"/>
    <w:rsid w:val="00685A59"/>
    <w:rsid w:val="00693D25"/>
    <w:rsid w:val="006959C7"/>
    <w:rsid w:val="00695E10"/>
    <w:rsid w:val="006A11FD"/>
    <w:rsid w:val="006A1223"/>
    <w:rsid w:val="006A1AA0"/>
    <w:rsid w:val="006A2BE5"/>
    <w:rsid w:val="006A48C3"/>
    <w:rsid w:val="006A7BFA"/>
    <w:rsid w:val="006B046A"/>
    <w:rsid w:val="006B2443"/>
    <w:rsid w:val="006B33F2"/>
    <w:rsid w:val="006B41DE"/>
    <w:rsid w:val="006B4FD8"/>
    <w:rsid w:val="006B5030"/>
    <w:rsid w:val="006B5A8D"/>
    <w:rsid w:val="006B710B"/>
    <w:rsid w:val="006B7EC2"/>
    <w:rsid w:val="006C02A8"/>
    <w:rsid w:val="006C3A2B"/>
    <w:rsid w:val="006C3D18"/>
    <w:rsid w:val="006C45CA"/>
    <w:rsid w:val="006C5286"/>
    <w:rsid w:val="006C63D7"/>
    <w:rsid w:val="006C6CDD"/>
    <w:rsid w:val="006D1C7A"/>
    <w:rsid w:val="006D34BB"/>
    <w:rsid w:val="006D513C"/>
    <w:rsid w:val="006D68A7"/>
    <w:rsid w:val="006E0E0E"/>
    <w:rsid w:val="006E0E3B"/>
    <w:rsid w:val="006E56F0"/>
    <w:rsid w:val="006E6D73"/>
    <w:rsid w:val="006E714A"/>
    <w:rsid w:val="006F151D"/>
    <w:rsid w:val="006F1746"/>
    <w:rsid w:val="006F4E1A"/>
    <w:rsid w:val="006F5630"/>
    <w:rsid w:val="006F7117"/>
    <w:rsid w:val="006F7FA4"/>
    <w:rsid w:val="00706894"/>
    <w:rsid w:val="00706998"/>
    <w:rsid w:val="00706AAA"/>
    <w:rsid w:val="00706E9D"/>
    <w:rsid w:val="00712644"/>
    <w:rsid w:val="00712AD1"/>
    <w:rsid w:val="007131E1"/>
    <w:rsid w:val="00714810"/>
    <w:rsid w:val="007160BA"/>
    <w:rsid w:val="00717423"/>
    <w:rsid w:val="00717BE9"/>
    <w:rsid w:val="00723449"/>
    <w:rsid w:val="007250F3"/>
    <w:rsid w:val="00727800"/>
    <w:rsid w:val="00727DCF"/>
    <w:rsid w:val="00731028"/>
    <w:rsid w:val="0073303B"/>
    <w:rsid w:val="00734F04"/>
    <w:rsid w:val="0073536E"/>
    <w:rsid w:val="00735BED"/>
    <w:rsid w:val="0073702C"/>
    <w:rsid w:val="00737F82"/>
    <w:rsid w:val="00740011"/>
    <w:rsid w:val="00741523"/>
    <w:rsid w:val="00741BAE"/>
    <w:rsid w:val="00744AD3"/>
    <w:rsid w:val="00744CE3"/>
    <w:rsid w:val="00746336"/>
    <w:rsid w:val="00747663"/>
    <w:rsid w:val="00752554"/>
    <w:rsid w:val="00753D29"/>
    <w:rsid w:val="00757E46"/>
    <w:rsid w:val="00761662"/>
    <w:rsid w:val="00761A5C"/>
    <w:rsid w:val="00767049"/>
    <w:rsid w:val="00770CFE"/>
    <w:rsid w:val="00773A42"/>
    <w:rsid w:val="0077412D"/>
    <w:rsid w:val="00774EBE"/>
    <w:rsid w:val="007772EB"/>
    <w:rsid w:val="007817C3"/>
    <w:rsid w:val="00781E89"/>
    <w:rsid w:val="007828C1"/>
    <w:rsid w:val="00786848"/>
    <w:rsid w:val="00790A00"/>
    <w:rsid w:val="007913EE"/>
    <w:rsid w:val="0079307A"/>
    <w:rsid w:val="007939C6"/>
    <w:rsid w:val="0079436C"/>
    <w:rsid w:val="00794A73"/>
    <w:rsid w:val="007958A3"/>
    <w:rsid w:val="0079684D"/>
    <w:rsid w:val="007A0B6F"/>
    <w:rsid w:val="007A54CF"/>
    <w:rsid w:val="007A5A91"/>
    <w:rsid w:val="007B0D45"/>
    <w:rsid w:val="007B2AE4"/>
    <w:rsid w:val="007B310C"/>
    <w:rsid w:val="007B4054"/>
    <w:rsid w:val="007B5460"/>
    <w:rsid w:val="007B6F58"/>
    <w:rsid w:val="007C7FFA"/>
    <w:rsid w:val="007D0D53"/>
    <w:rsid w:val="007D1056"/>
    <w:rsid w:val="007D152E"/>
    <w:rsid w:val="007D1CAB"/>
    <w:rsid w:val="007D36A4"/>
    <w:rsid w:val="007D77AF"/>
    <w:rsid w:val="007E004A"/>
    <w:rsid w:val="007E0503"/>
    <w:rsid w:val="007E15D2"/>
    <w:rsid w:val="007E2DD7"/>
    <w:rsid w:val="007E57E0"/>
    <w:rsid w:val="007E6B23"/>
    <w:rsid w:val="007E73F3"/>
    <w:rsid w:val="007F1B00"/>
    <w:rsid w:val="007F4AA2"/>
    <w:rsid w:val="007F4BC3"/>
    <w:rsid w:val="007F7496"/>
    <w:rsid w:val="008007AC"/>
    <w:rsid w:val="00800A8A"/>
    <w:rsid w:val="00801746"/>
    <w:rsid w:val="00803B98"/>
    <w:rsid w:val="00804C55"/>
    <w:rsid w:val="00804ECC"/>
    <w:rsid w:val="0080626E"/>
    <w:rsid w:val="00807477"/>
    <w:rsid w:val="00810E7C"/>
    <w:rsid w:val="008118EA"/>
    <w:rsid w:val="00812226"/>
    <w:rsid w:val="00814490"/>
    <w:rsid w:val="00814793"/>
    <w:rsid w:val="0081501C"/>
    <w:rsid w:val="008164ED"/>
    <w:rsid w:val="00817D1B"/>
    <w:rsid w:val="00822C35"/>
    <w:rsid w:val="00824EF4"/>
    <w:rsid w:val="00825673"/>
    <w:rsid w:val="00830615"/>
    <w:rsid w:val="008337D2"/>
    <w:rsid w:val="00834109"/>
    <w:rsid w:val="00835B83"/>
    <w:rsid w:val="00840299"/>
    <w:rsid w:val="00841C50"/>
    <w:rsid w:val="00844E75"/>
    <w:rsid w:val="008468BA"/>
    <w:rsid w:val="00854E5E"/>
    <w:rsid w:val="00855DC3"/>
    <w:rsid w:val="00855DCD"/>
    <w:rsid w:val="00856CE5"/>
    <w:rsid w:val="0085734B"/>
    <w:rsid w:val="00867080"/>
    <w:rsid w:val="00870E8F"/>
    <w:rsid w:val="008735BE"/>
    <w:rsid w:val="00874704"/>
    <w:rsid w:val="0087538E"/>
    <w:rsid w:val="008764BE"/>
    <w:rsid w:val="0088069F"/>
    <w:rsid w:val="0088442D"/>
    <w:rsid w:val="008846AF"/>
    <w:rsid w:val="00884CC1"/>
    <w:rsid w:val="0088547E"/>
    <w:rsid w:val="008950AE"/>
    <w:rsid w:val="00895BDE"/>
    <w:rsid w:val="00895E92"/>
    <w:rsid w:val="00896783"/>
    <w:rsid w:val="008A46AF"/>
    <w:rsid w:val="008A4D32"/>
    <w:rsid w:val="008A6B54"/>
    <w:rsid w:val="008A6FC5"/>
    <w:rsid w:val="008A791F"/>
    <w:rsid w:val="008A7C0B"/>
    <w:rsid w:val="008A7ED2"/>
    <w:rsid w:val="008B09EB"/>
    <w:rsid w:val="008B20D3"/>
    <w:rsid w:val="008B2190"/>
    <w:rsid w:val="008B2AEA"/>
    <w:rsid w:val="008B484C"/>
    <w:rsid w:val="008B7544"/>
    <w:rsid w:val="008C1ED5"/>
    <w:rsid w:val="008C2E5D"/>
    <w:rsid w:val="008C3A24"/>
    <w:rsid w:val="008C4587"/>
    <w:rsid w:val="008C4F2F"/>
    <w:rsid w:val="008C628F"/>
    <w:rsid w:val="008C6349"/>
    <w:rsid w:val="008C6E1D"/>
    <w:rsid w:val="008C78BD"/>
    <w:rsid w:val="008D1419"/>
    <w:rsid w:val="008E01A4"/>
    <w:rsid w:val="008E3219"/>
    <w:rsid w:val="008E3FFF"/>
    <w:rsid w:val="008E519E"/>
    <w:rsid w:val="008E74BB"/>
    <w:rsid w:val="0090029D"/>
    <w:rsid w:val="00901EFC"/>
    <w:rsid w:val="00904E00"/>
    <w:rsid w:val="00905976"/>
    <w:rsid w:val="009076B6"/>
    <w:rsid w:val="009111AE"/>
    <w:rsid w:val="00913AB0"/>
    <w:rsid w:val="009201F7"/>
    <w:rsid w:val="009204C4"/>
    <w:rsid w:val="00924462"/>
    <w:rsid w:val="009264B1"/>
    <w:rsid w:val="00930830"/>
    <w:rsid w:val="00936580"/>
    <w:rsid w:val="00940F23"/>
    <w:rsid w:val="00942224"/>
    <w:rsid w:val="00944EA9"/>
    <w:rsid w:val="00946652"/>
    <w:rsid w:val="00947D7B"/>
    <w:rsid w:val="0095304C"/>
    <w:rsid w:val="00953996"/>
    <w:rsid w:val="00953BDF"/>
    <w:rsid w:val="00955141"/>
    <w:rsid w:val="00955D9C"/>
    <w:rsid w:val="009573D3"/>
    <w:rsid w:val="0096096D"/>
    <w:rsid w:val="00961D69"/>
    <w:rsid w:val="009635D8"/>
    <w:rsid w:val="009644D4"/>
    <w:rsid w:val="00964748"/>
    <w:rsid w:val="00966B82"/>
    <w:rsid w:val="00971F15"/>
    <w:rsid w:val="0097396A"/>
    <w:rsid w:val="00975FB6"/>
    <w:rsid w:val="0098069E"/>
    <w:rsid w:val="00981E19"/>
    <w:rsid w:val="0099391E"/>
    <w:rsid w:val="00993DED"/>
    <w:rsid w:val="009A036D"/>
    <w:rsid w:val="009A37E2"/>
    <w:rsid w:val="009A5DF5"/>
    <w:rsid w:val="009A608F"/>
    <w:rsid w:val="009A6B14"/>
    <w:rsid w:val="009A79B3"/>
    <w:rsid w:val="009B0006"/>
    <w:rsid w:val="009B2E7D"/>
    <w:rsid w:val="009B3204"/>
    <w:rsid w:val="009B7CD5"/>
    <w:rsid w:val="009C2121"/>
    <w:rsid w:val="009C2AEA"/>
    <w:rsid w:val="009C4C2B"/>
    <w:rsid w:val="009C4E2F"/>
    <w:rsid w:val="009C5B32"/>
    <w:rsid w:val="009C7217"/>
    <w:rsid w:val="009D0BA2"/>
    <w:rsid w:val="009D420C"/>
    <w:rsid w:val="009D602F"/>
    <w:rsid w:val="009D654D"/>
    <w:rsid w:val="009D6DAE"/>
    <w:rsid w:val="009E04C4"/>
    <w:rsid w:val="009E0BDE"/>
    <w:rsid w:val="009E16F2"/>
    <w:rsid w:val="009E25AA"/>
    <w:rsid w:val="009E6558"/>
    <w:rsid w:val="009F00D3"/>
    <w:rsid w:val="009F502F"/>
    <w:rsid w:val="009F53A0"/>
    <w:rsid w:val="009F5A46"/>
    <w:rsid w:val="009F6730"/>
    <w:rsid w:val="009F6D82"/>
    <w:rsid w:val="00A041E4"/>
    <w:rsid w:val="00A04A45"/>
    <w:rsid w:val="00A04B9F"/>
    <w:rsid w:val="00A10D66"/>
    <w:rsid w:val="00A11C3F"/>
    <w:rsid w:val="00A12CC6"/>
    <w:rsid w:val="00A14325"/>
    <w:rsid w:val="00A1534D"/>
    <w:rsid w:val="00A23D74"/>
    <w:rsid w:val="00A24036"/>
    <w:rsid w:val="00A2510A"/>
    <w:rsid w:val="00A268A0"/>
    <w:rsid w:val="00A30CEA"/>
    <w:rsid w:val="00A31388"/>
    <w:rsid w:val="00A31956"/>
    <w:rsid w:val="00A34199"/>
    <w:rsid w:val="00A356B7"/>
    <w:rsid w:val="00A36FCC"/>
    <w:rsid w:val="00A37B30"/>
    <w:rsid w:val="00A40E16"/>
    <w:rsid w:val="00A41060"/>
    <w:rsid w:val="00A41D1A"/>
    <w:rsid w:val="00A41D8E"/>
    <w:rsid w:val="00A42FA9"/>
    <w:rsid w:val="00A51623"/>
    <w:rsid w:val="00A528F8"/>
    <w:rsid w:val="00A541A4"/>
    <w:rsid w:val="00A54EAC"/>
    <w:rsid w:val="00A56943"/>
    <w:rsid w:val="00A60159"/>
    <w:rsid w:val="00A60A61"/>
    <w:rsid w:val="00A60F3A"/>
    <w:rsid w:val="00A62066"/>
    <w:rsid w:val="00A647AC"/>
    <w:rsid w:val="00A64EDA"/>
    <w:rsid w:val="00A66AFC"/>
    <w:rsid w:val="00A70973"/>
    <w:rsid w:val="00A74316"/>
    <w:rsid w:val="00A7537F"/>
    <w:rsid w:val="00A77359"/>
    <w:rsid w:val="00A80A6B"/>
    <w:rsid w:val="00A8177C"/>
    <w:rsid w:val="00A834AA"/>
    <w:rsid w:val="00A83B97"/>
    <w:rsid w:val="00A8461A"/>
    <w:rsid w:val="00A8538A"/>
    <w:rsid w:val="00A86B9B"/>
    <w:rsid w:val="00A908B8"/>
    <w:rsid w:val="00A91261"/>
    <w:rsid w:val="00A92EC8"/>
    <w:rsid w:val="00A930CE"/>
    <w:rsid w:val="00A95318"/>
    <w:rsid w:val="00A956C2"/>
    <w:rsid w:val="00A96521"/>
    <w:rsid w:val="00A97A65"/>
    <w:rsid w:val="00AA15A8"/>
    <w:rsid w:val="00AA453C"/>
    <w:rsid w:val="00AA55E7"/>
    <w:rsid w:val="00AA7474"/>
    <w:rsid w:val="00AB0ABD"/>
    <w:rsid w:val="00AB1F30"/>
    <w:rsid w:val="00AB2537"/>
    <w:rsid w:val="00AB2BF8"/>
    <w:rsid w:val="00AC072C"/>
    <w:rsid w:val="00AC4608"/>
    <w:rsid w:val="00AC6E07"/>
    <w:rsid w:val="00AD1589"/>
    <w:rsid w:val="00AD3488"/>
    <w:rsid w:val="00AD6CC9"/>
    <w:rsid w:val="00AD769C"/>
    <w:rsid w:val="00AE06DF"/>
    <w:rsid w:val="00AE42D6"/>
    <w:rsid w:val="00AE6DE1"/>
    <w:rsid w:val="00AF07EA"/>
    <w:rsid w:val="00AF0CD5"/>
    <w:rsid w:val="00AF3ED8"/>
    <w:rsid w:val="00AF55FD"/>
    <w:rsid w:val="00AF5AD3"/>
    <w:rsid w:val="00AF76B1"/>
    <w:rsid w:val="00B000D2"/>
    <w:rsid w:val="00B01588"/>
    <w:rsid w:val="00B02B1E"/>
    <w:rsid w:val="00B02BF3"/>
    <w:rsid w:val="00B034C5"/>
    <w:rsid w:val="00B06B26"/>
    <w:rsid w:val="00B076A5"/>
    <w:rsid w:val="00B12170"/>
    <w:rsid w:val="00B16E05"/>
    <w:rsid w:val="00B205EF"/>
    <w:rsid w:val="00B21DE8"/>
    <w:rsid w:val="00B23388"/>
    <w:rsid w:val="00B24F9D"/>
    <w:rsid w:val="00B256E8"/>
    <w:rsid w:val="00B3104E"/>
    <w:rsid w:val="00B3115D"/>
    <w:rsid w:val="00B338D5"/>
    <w:rsid w:val="00B35069"/>
    <w:rsid w:val="00B3727C"/>
    <w:rsid w:val="00B41598"/>
    <w:rsid w:val="00B417F0"/>
    <w:rsid w:val="00B43D9A"/>
    <w:rsid w:val="00B43E08"/>
    <w:rsid w:val="00B44194"/>
    <w:rsid w:val="00B454FA"/>
    <w:rsid w:val="00B4572D"/>
    <w:rsid w:val="00B46267"/>
    <w:rsid w:val="00B47F92"/>
    <w:rsid w:val="00B519F3"/>
    <w:rsid w:val="00B52A55"/>
    <w:rsid w:val="00B53641"/>
    <w:rsid w:val="00B53B86"/>
    <w:rsid w:val="00B57425"/>
    <w:rsid w:val="00B57D12"/>
    <w:rsid w:val="00B60F0A"/>
    <w:rsid w:val="00B646A4"/>
    <w:rsid w:val="00B66751"/>
    <w:rsid w:val="00B679D2"/>
    <w:rsid w:val="00B7010B"/>
    <w:rsid w:val="00B716DE"/>
    <w:rsid w:val="00B76B69"/>
    <w:rsid w:val="00B86286"/>
    <w:rsid w:val="00B87E74"/>
    <w:rsid w:val="00B91356"/>
    <w:rsid w:val="00B919DD"/>
    <w:rsid w:val="00B93563"/>
    <w:rsid w:val="00B94B2C"/>
    <w:rsid w:val="00B9632B"/>
    <w:rsid w:val="00B96618"/>
    <w:rsid w:val="00BA03BA"/>
    <w:rsid w:val="00BA1A0E"/>
    <w:rsid w:val="00BA2000"/>
    <w:rsid w:val="00BA2206"/>
    <w:rsid w:val="00BA2790"/>
    <w:rsid w:val="00BA38E1"/>
    <w:rsid w:val="00BA3AA0"/>
    <w:rsid w:val="00BA44E8"/>
    <w:rsid w:val="00BA73C7"/>
    <w:rsid w:val="00BA77C6"/>
    <w:rsid w:val="00BB4AFB"/>
    <w:rsid w:val="00BB64B6"/>
    <w:rsid w:val="00BB6F7B"/>
    <w:rsid w:val="00BC148B"/>
    <w:rsid w:val="00BD23B0"/>
    <w:rsid w:val="00BD356E"/>
    <w:rsid w:val="00BD3866"/>
    <w:rsid w:val="00BD42DB"/>
    <w:rsid w:val="00BD4490"/>
    <w:rsid w:val="00BD602E"/>
    <w:rsid w:val="00BD6226"/>
    <w:rsid w:val="00BE1AC9"/>
    <w:rsid w:val="00BE21F4"/>
    <w:rsid w:val="00BE5D7B"/>
    <w:rsid w:val="00BE5E0C"/>
    <w:rsid w:val="00BE5EA4"/>
    <w:rsid w:val="00BF0C16"/>
    <w:rsid w:val="00BF4048"/>
    <w:rsid w:val="00BF43BD"/>
    <w:rsid w:val="00BF6A15"/>
    <w:rsid w:val="00BF6E67"/>
    <w:rsid w:val="00BF7816"/>
    <w:rsid w:val="00BF7AD3"/>
    <w:rsid w:val="00C00486"/>
    <w:rsid w:val="00C05295"/>
    <w:rsid w:val="00C05644"/>
    <w:rsid w:val="00C1058A"/>
    <w:rsid w:val="00C13881"/>
    <w:rsid w:val="00C22AD1"/>
    <w:rsid w:val="00C23977"/>
    <w:rsid w:val="00C245C7"/>
    <w:rsid w:val="00C31588"/>
    <w:rsid w:val="00C318B5"/>
    <w:rsid w:val="00C32F3F"/>
    <w:rsid w:val="00C35A78"/>
    <w:rsid w:val="00C4064D"/>
    <w:rsid w:val="00C40BFB"/>
    <w:rsid w:val="00C417FB"/>
    <w:rsid w:val="00C41D0E"/>
    <w:rsid w:val="00C471D2"/>
    <w:rsid w:val="00C47350"/>
    <w:rsid w:val="00C47CFD"/>
    <w:rsid w:val="00C50558"/>
    <w:rsid w:val="00C55258"/>
    <w:rsid w:val="00C55A53"/>
    <w:rsid w:val="00C65C8D"/>
    <w:rsid w:val="00C67D0B"/>
    <w:rsid w:val="00C67FB3"/>
    <w:rsid w:val="00C718F6"/>
    <w:rsid w:val="00C71ECB"/>
    <w:rsid w:val="00C737DB"/>
    <w:rsid w:val="00C74BE5"/>
    <w:rsid w:val="00C7515B"/>
    <w:rsid w:val="00C75688"/>
    <w:rsid w:val="00C77AB4"/>
    <w:rsid w:val="00C83EA2"/>
    <w:rsid w:val="00C859F7"/>
    <w:rsid w:val="00C90226"/>
    <w:rsid w:val="00C924DB"/>
    <w:rsid w:val="00C92C59"/>
    <w:rsid w:val="00C931F0"/>
    <w:rsid w:val="00C93CE1"/>
    <w:rsid w:val="00C9452F"/>
    <w:rsid w:val="00C95104"/>
    <w:rsid w:val="00C9516A"/>
    <w:rsid w:val="00CA2509"/>
    <w:rsid w:val="00CA27B6"/>
    <w:rsid w:val="00CA4B8A"/>
    <w:rsid w:val="00CA6E55"/>
    <w:rsid w:val="00CB1808"/>
    <w:rsid w:val="00CB240A"/>
    <w:rsid w:val="00CB358E"/>
    <w:rsid w:val="00CB55F6"/>
    <w:rsid w:val="00CB605F"/>
    <w:rsid w:val="00CB67C8"/>
    <w:rsid w:val="00CC134B"/>
    <w:rsid w:val="00CC1D9C"/>
    <w:rsid w:val="00CC1F5D"/>
    <w:rsid w:val="00CC2750"/>
    <w:rsid w:val="00CC3CBB"/>
    <w:rsid w:val="00CC7175"/>
    <w:rsid w:val="00CD0349"/>
    <w:rsid w:val="00CD381F"/>
    <w:rsid w:val="00CD4ABF"/>
    <w:rsid w:val="00CD4B0F"/>
    <w:rsid w:val="00CE035C"/>
    <w:rsid w:val="00CE0CD3"/>
    <w:rsid w:val="00CE3060"/>
    <w:rsid w:val="00CE30D6"/>
    <w:rsid w:val="00CF0D92"/>
    <w:rsid w:val="00CF528B"/>
    <w:rsid w:val="00CF6029"/>
    <w:rsid w:val="00CF60C2"/>
    <w:rsid w:val="00CF73EE"/>
    <w:rsid w:val="00D009B1"/>
    <w:rsid w:val="00D01F3F"/>
    <w:rsid w:val="00D07771"/>
    <w:rsid w:val="00D10A7E"/>
    <w:rsid w:val="00D141B3"/>
    <w:rsid w:val="00D157A9"/>
    <w:rsid w:val="00D16B78"/>
    <w:rsid w:val="00D17006"/>
    <w:rsid w:val="00D20BFF"/>
    <w:rsid w:val="00D21D01"/>
    <w:rsid w:val="00D27313"/>
    <w:rsid w:val="00D306D6"/>
    <w:rsid w:val="00D3210D"/>
    <w:rsid w:val="00D34C10"/>
    <w:rsid w:val="00D37B31"/>
    <w:rsid w:val="00D408C4"/>
    <w:rsid w:val="00D47049"/>
    <w:rsid w:val="00D47E5E"/>
    <w:rsid w:val="00D516BE"/>
    <w:rsid w:val="00D525CE"/>
    <w:rsid w:val="00D52A3A"/>
    <w:rsid w:val="00D533A8"/>
    <w:rsid w:val="00D556F7"/>
    <w:rsid w:val="00D56C8B"/>
    <w:rsid w:val="00D56EBB"/>
    <w:rsid w:val="00D57AB1"/>
    <w:rsid w:val="00D57B07"/>
    <w:rsid w:val="00D6013E"/>
    <w:rsid w:val="00D61135"/>
    <w:rsid w:val="00D62622"/>
    <w:rsid w:val="00D62807"/>
    <w:rsid w:val="00D62AC0"/>
    <w:rsid w:val="00D6372D"/>
    <w:rsid w:val="00D64390"/>
    <w:rsid w:val="00D65C60"/>
    <w:rsid w:val="00D67F12"/>
    <w:rsid w:val="00D718F8"/>
    <w:rsid w:val="00D72C23"/>
    <w:rsid w:val="00D73783"/>
    <w:rsid w:val="00D75A7F"/>
    <w:rsid w:val="00D761E7"/>
    <w:rsid w:val="00D77BCF"/>
    <w:rsid w:val="00D80697"/>
    <w:rsid w:val="00D80926"/>
    <w:rsid w:val="00D8285E"/>
    <w:rsid w:val="00D83926"/>
    <w:rsid w:val="00D8541B"/>
    <w:rsid w:val="00D879A4"/>
    <w:rsid w:val="00D91023"/>
    <w:rsid w:val="00D93BB8"/>
    <w:rsid w:val="00D94C95"/>
    <w:rsid w:val="00D95495"/>
    <w:rsid w:val="00D95E9B"/>
    <w:rsid w:val="00D97284"/>
    <w:rsid w:val="00D97F45"/>
    <w:rsid w:val="00DA1512"/>
    <w:rsid w:val="00DA2ACE"/>
    <w:rsid w:val="00DA40A8"/>
    <w:rsid w:val="00DA48BE"/>
    <w:rsid w:val="00DA513E"/>
    <w:rsid w:val="00DA55E0"/>
    <w:rsid w:val="00DB318C"/>
    <w:rsid w:val="00DB461A"/>
    <w:rsid w:val="00DB7734"/>
    <w:rsid w:val="00DB788A"/>
    <w:rsid w:val="00DC1535"/>
    <w:rsid w:val="00DC1C7E"/>
    <w:rsid w:val="00DC434E"/>
    <w:rsid w:val="00DC5F71"/>
    <w:rsid w:val="00DC68CC"/>
    <w:rsid w:val="00DC70A9"/>
    <w:rsid w:val="00DD5B47"/>
    <w:rsid w:val="00DD5EA8"/>
    <w:rsid w:val="00DD75FC"/>
    <w:rsid w:val="00DD7761"/>
    <w:rsid w:val="00DD7AA1"/>
    <w:rsid w:val="00DE05E3"/>
    <w:rsid w:val="00DE20E8"/>
    <w:rsid w:val="00DE2F33"/>
    <w:rsid w:val="00DE42A1"/>
    <w:rsid w:val="00DE4FC3"/>
    <w:rsid w:val="00DE56F3"/>
    <w:rsid w:val="00DE5B4E"/>
    <w:rsid w:val="00DE6304"/>
    <w:rsid w:val="00DE69A5"/>
    <w:rsid w:val="00DF02A1"/>
    <w:rsid w:val="00DF5431"/>
    <w:rsid w:val="00DF66D0"/>
    <w:rsid w:val="00E00815"/>
    <w:rsid w:val="00E00CB8"/>
    <w:rsid w:val="00E0458A"/>
    <w:rsid w:val="00E05446"/>
    <w:rsid w:val="00E10330"/>
    <w:rsid w:val="00E106B0"/>
    <w:rsid w:val="00E115FB"/>
    <w:rsid w:val="00E1193B"/>
    <w:rsid w:val="00E157E0"/>
    <w:rsid w:val="00E15CBB"/>
    <w:rsid w:val="00E20989"/>
    <w:rsid w:val="00E22B14"/>
    <w:rsid w:val="00E232E1"/>
    <w:rsid w:val="00E23353"/>
    <w:rsid w:val="00E23A7F"/>
    <w:rsid w:val="00E24B22"/>
    <w:rsid w:val="00E27977"/>
    <w:rsid w:val="00E31E5C"/>
    <w:rsid w:val="00E3288D"/>
    <w:rsid w:val="00E34E2A"/>
    <w:rsid w:val="00E36CE2"/>
    <w:rsid w:val="00E426E5"/>
    <w:rsid w:val="00E4605C"/>
    <w:rsid w:val="00E468DF"/>
    <w:rsid w:val="00E47F4C"/>
    <w:rsid w:val="00E51EAC"/>
    <w:rsid w:val="00E53036"/>
    <w:rsid w:val="00E56265"/>
    <w:rsid w:val="00E56AE7"/>
    <w:rsid w:val="00E571FD"/>
    <w:rsid w:val="00E57BA9"/>
    <w:rsid w:val="00E607CC"/>
    <w:rsid w:val="00E607DC"/>
    <w:rsid w:val="00E62666"/>
    <w:rsid w:val="00E63125"/>
    <w:rsid w:val="00E6538B"/>
    <w:rsid w:val="00E67815"/>
    <w:rsid w:val="00E73D3B"/>
    <w:rsid w:val="00E7647F"/>
    <w:rsid w:val="00E77879"/>
    <w:rsid w:val="00E83600"/>
    <w:rsid w:val="00E842CD"/>
    <w:rsid w:val="00E84569"/>
    <w:rsid w:val="00E85787"/>
    <w:rsid w:val="00E874E8"/>
    <w:rsid w:val="00E90DBC"/>
    <w:rsid w:val="00E95A60"/>
    <w:rsid w:val="00E95F0E"/>
    <w:rsid w:val="00E96C63"/>
    <w:rsid w:val="00E96C97"/>
    <w:rsid w:val="00E975B5"/>
    <w:rsid w:val="00E97FEA"/>
    <w:rsid w:val="00EA0301"/>
    <w:rsid w:val="00EA09B0"/>
    <w:rsid w:val="00EA18DC"/>
    <w:rsid w:val="00EA2981"/>
    <w:rsid w:val="00EA6EB0"/>
    <w:rsid w:val="00EB1572"/>
    <w:rsid w:val="00EB1641"/>
    <w:rsid w:val="00EB4F86"/>
    <w:rsid w:val="00EB5658"/>
    <w:rsid w:val="00EB7496"/>
    <w:rsid w:val="00EC0D1C"/>
    <w:rsid w:val="00EC1205"/>
    <w:rsid w:val="00EC1EDB"/>
    <w:rsid w:val="00EC2661"/>
    <w:rsid w:val="00EC3174"/>
    <w:rsid w:val="00EC3B7A"/>
    <w:rsid w:val="00EC4C73"/>
    <w:rsid w:val="00EC5009"/>
    <w:rsid w:val="00EC7DB9"/>
    <w:rsid w:val="00ED3851"/>
    <w:rsid w:val="00ED4BCA"/>
    <w:rsid w:val="00ED4EEC"/>
    <w:rsid w:val="00ED6A5C"/>
    <w:rsid w:val="00ED6E52"/>
    <w:rsid w:val="00ED7298"/>
    <w:rsid w:val="00EE175B"/>
    <w:rsid w:val="00EE38D7"/>
    <w:rsid w:val="00EE3FA9"/>
    <w:rsid w:val="00EE47EE"/>
    <w:rsid w:val="00EF24F6"/>
    <w:rsid w:val="00EF3584"/>
    <w:rsid w:val="00EF4B4D"/>
    <w:rsid w:val="00EF6CF7"/>
    <w:rsid w:val="00EF6E78"/>
    <w:rsid w:val="00F0023C"/>
    <w:rsid w:val="00F03A1B"/>
    <w:rsid w:val="00F05450"/>
    <w:rsid w:val="00F07E9A"/>
    <w:rsid w:val="00F07FDE"/>
    <w:rsid w:val="00F108FF"/>
    <w:rsid w:val="00F1101C"/>
    <w:rsid w:val="00F126B9"/>
    <w:rsid w:val="00F12A86"/>
    <w:rsid w:val="00F12D81"/>
    <w:rsid w:val="00F13025"/>
    <w:rsid w:val="00F150CF"/>
    <w:rsid w:val="00F178E4"/>
    <w:rsid w:val="00F256CC"/>
    <w:rsid w:val="00F27B2E"/>
    <w:rsid w:val="00F32D33"/>
    <w:rsid w:val="00F33D53"/>
    <w:rsid w:val="00F41EF0"/>
    <w:rsid w:val="00F43011"/>
    <w:rsid w:val="00F540C7"/>
    <w:rsid w:val="00F60900"/>
    <w:rsid w:val="00F61264"/>
    <w:rsid w:val="00F6245B"/>
    <w:rsid w:val="00F6584B"/>
    <w:rsid w:val="00F66477"/>
    <w:rsid w:val="00F66A09"/>
    <w:rsid w:val="00F70AFC"/>
    <w:rsid w:val="00F70FA1"/>
    <w:rsid w:val="00F73A60"/>
    <w:rsid w:val="00F74463"/>
    <w:rsid w:val="00F770C3"/>
    <w:rsid w:val="00F77ADD"/>
    <w:rsid w:val="00F81A96"/>
    <w:rsid w:val="00F81B81"/>
    <w:rsid w:val="00F8439E"/>
    <w:rsid w:val="00F856C2"/>
    <w:rsid w:val="00F90126"/>
    <w:rsid w:val="00F930FF"/>
    <w:rsid w:val="00F9349E"/>
    <w:rsid w:val="00F95B80"/>
    <w:rsid w:val="00F9707E"/>
    <w:rsid w:val="00FA6504"/>
    <w:rsid w:val="00FA7C7A"/>
    <w:rsid w:val="00FB19E1"/>
    <w:rsid w:val="00FB2410"/>
    <w:rsid w:val="00FB7B89"/>
    <w:rsid w:val="00FC2974"/>
    <w:rsid w:val="00FC4266"/>
    <w:rsid w:val="00FC4DF9"/>
    <w:rsid w:val="00FC610F"/>
    <w:rsid w:val="00FC74A5"/>
    <w:rsid w:val="00FD0D53"/>
    <w:rsid w:val="00FD25E4"/>
    <w:rsid w:val="00FD3155"/>
    <w:rsid w:val="00FE2AE0"/>
    <w:rsid w:val="00FE2EEC"/>
    <w:rsid w:val="00FE4A58"/>
    <w:rsid w:val="00FE4FE3"/>
    <w:rsid w:val="00FE56BE"/>
    <w:rsid w:val="00FE57F1"/>
    <w:rsid w:val="00FF3151"/>
    <w:rsid w:val="00FF3677"/>
    <w:rsid w:val="00FF3ECD"/>
    <w:rsid w:val="00FF45FF"/>
    <w:rsid w:val="00FF4982"/>
    <w:rsid w:val="00FF548A"/>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95"/>
    <w:rPr>
      <w:rFonts w:eastAsia="Calibri"/>
      <w:sz w:val="24"/>
      <w:szCs w:val="24"/>
    </w:rPr>
  </w:style>
  <w:style w:type="paragraph" w:styleId="2">
    <w:name w:val="heading 2"/>
    <w:basedOn w:val="a"/>
    <w:next w:val="a"/>
    <w:link w:val="20"/>
    <w:qFormat/>
    <w:rsid w:val="00D94C95"/>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95"/>
    <w:pPr>
      <w:autoSpaceDE w:val="0"/>
      <w:autoSpaceDN w:val="0"/>
      <w:adjustRightInd w:val="0"/>
      <w:ind w:firstLine="720"/>
    </w:pPr>
    <w:rPr>
      <w:rFonts w:ascii="Arial" w:eastAsia="Calibri" w:hAnsi="Arial" w:cs="Arial"/>
      <w:sz w:val="26"/>
      <w:szCs w:val="26"/>
    </w:rPr>
  </w:style>
  <w:style w:type="paragraph" w:styleId="a3">
    <w:name w:val="Body Text"/>
    <w:basedOn w:val="a"/>
    <w:link w:val="a4"/>
    <w:rsid w:val="00D94C95"/>
    <w:pPr>
      <w:spacing w:after="120"/>
    </w:pPr>
  </w:style>
  <w:style w:type="character" w:customStyle="1" w:styleId="a4">
    <w:name w:val="Основной текст Знак"/>
    <w:link w:val="a3"/>
    <w:locked/>
    <w:rsid w:val="00D94C95"/>
    <w:rPr>
      <w:rFonts w:eastAsia="Calibri"/>
      <w:sz w:val="24"/>
      <w:szCs w:val="24"/>
      <w:lang w:val="ru-RU" w:eastAsia="ru-RU" w:bidi="ar-SA"/>
    </w:rPr>
  </w:style>
  <w:style w:type="paragraph" w:styleId="21">
    <w:name w:val="Body Text Indent 2"/>
    <w:basedOn w:val="a"/>
    <w:link w:val="22"/>
    <w:rsid w:val="00D94C95"/>
    <w:pPr>
      <w:spacing w:after="120" w:line="480" w:lineRule="auto"/>
      <w:ind w:left="283"/>
    </w:pPr>
    <w:rPr>
      <w:rFonts w:eastAsia="Times New Roman"/>
    </w:rPr>
  </w:style>
  <w:style w:type="character" w:customStyle="1" w:styleId="22">
    <w:name w:val="Основной текст с отступом 2 Знак"/>
    <w:link w:val="21"/>
    <w:locked/>
    <w:rsid w:val="00D94C95"/>
    <w:rPr>
      <w:sz w:val="24"/>
      <w:szCs w:val="24"/>
      <w:lang w:val="ru-RU" w:eastAsia="ru-RU" w:bidi="ar-SA"/>
    </w:rPr>
  </w:style>
  <w:style w:type="paragraph" w:styleId="a5">
    <w:name w:val="No Spacing"/>
    <w:link w:val="a6"/>
    <w:uiPriority w:val="1"/>
    <w:qFormat/>
    <w:rsid w:val="00D94C95"/>
    <w:rPr>
      <w:rFonts w:ascii="Calibri" w:eastAsia="Calibri" w:hAnsi="Calibri"/>
      <w:sz w:val="22"/>
      <w:szCs w:val="22"/>
      <w:lang w:eastAsia="en-US"/>
    </w:rPr>
  </w:style>
  <w:style w:type="character" w:customStyle="1" w:styleId="20">
    <w:name w:val="Заголовок 2 Знак"/>
    <w:link w:val="2"/>
    <w:semiHidden/>
    <w:locked/>
    <w:rsid w:val="00D94C95"/>
    <w:rPr>
      <w:rFonts w:ascii="Arial" w:hAnsi="Arial" w:cs="Arial"/>
      <w:b/>
      <w:bCs/>
      <w:i/>
      <w:iCs/>
      <w:sz w:val="28"/>
      <w:szCs w:val="28"/>
      <w:lang w:val="ru-RU" w:eastAsia="ru-RU" w:bidi="ar-SA"/>
    </w:rPr>
  </w:style>
  <w:style w:type="paragraph" w:styleId="a7">
    <w:name w:val="caption"/>
    <w:basedOn w:val="a"/>
    <w:qFormat/>
    <w:rsid w:val="00D94C95"/>
    <w:pPr>
      <w:jc w:val="center"/>
    </w:pPr>
    <w:rPr>
      <w:rFonts w:eastAsia="Times New Roman"/>
      <w:b/>
      <w:sz w:val="28"/>
      <w:szCs w:val="20"/>
    </w:rPr>
  </w:style>
  <w:style w:type="paragraph" w:styleId="3">
    <w:name w:val="Body Text Indent 3"/>
    <w:basedOn w:val="a"/>
    <w:rsid w:val="00D94C95"/>
    <w:pPr>
      <w:spacing w:after="120"/>
      <w:ind w:left="283"/>
    </w:pPr>
    <w:rPr>
      <w:sz w:val="16"/>
      <w:szCs w:val="16"/>
    </w:rPr>
  </w:style>
  <w:style w:type="character" w:customStyle="1" w:styleId="FontStyle12">
    <w:name w:val="Font Style12"/>
    <w:rsid w:val="00D94C95"/>
    <w:rPr>
      <w:rFonts w:ascii="Times New Roman" w:hAnsi="Times New Roman" w:cs="Times New Roman"/>
      <w:sz w:val="22"/>
      <w:szCs w:val="22"/>
    </w:rPr>
  </w:style>
  <w:style w:type="character" w:customStyle="1" w:styleId="FontStyle16">
    <w:name w:val="Font Style16"/>
    <w:rsid w:val="00D94C95"/>
    <w:rPr>
      <w:rFonts w:ascii="Times New Roman" w:hAnsi="Times New Roman" w:cs="Times New Roman"/>
      <w:sz w:val="22"/>
      <w:szCs w:val="22"/>
    </w:rPr>
  </w:style>
  <w:style w:type="paragraph" w:customStyle="1" w:styleId="maintext">
    <w:name w:val="maintext"/>
    <w:basedOn w:val="a"/>
    <w:rsid w:val="00D94C95"/>
    <w:pPr>
      <w:spacing w:before="100" w:beforeAutospacing="1" w:after="100" w:afterAutospacing="1"/>
      <w:ind w:left="300" w:right="300"/>
      <w:jc w:val="both"/>
    </w:pPr>
    <w:rPr>
      <w:rFonts w:ascii="Arial" w:eastAsia="Times New Roman" w:hAnsi="Arial" w:cs="Arial"/>
      <w:color w:val="000000"/>
      <w:sz w:val="18"/>
      <w:szCs w:val="18"/>
    </w:rPr>
  </w:style>
  <w:style w:type="paragraph" w:customStyle="1" w:styleId="ConsPlusTitle">
    <w:name w:val="ConsPlusTitle"/>
    <w:rsid w:val="00D94C95"/>
    <w:pPr>
      <w:widowControl w:val="0"/>
      <w:autoSpaceDE w:val="0"/>
      <w:autoSpaceDN w:val="0"/>
      <w:adjustRightInd w:val="0"/>
    </w:pPr>
    <w:rPr>
      <w:rFonts w:ascii="Arial" w:hAnsi="Arial" w:cs="Arial"/>
      <w:b/>
      <w:bCs/>
    </w:rPr>
  </w:style>
  <w:style w:type="paragraph" w:customStyle="1" w:styleId="ConsPlusNonformat">
    <w:name w:val="ConsPlusNonformat"/>
    <w:rsid w:val="00D94C95"/>
    <w:pPr>
      <w:widowControl w:val="0"/>
      <w:autoSpaceDE w:val="0"/>
      <w:autoSpaceDN w:val="0"/>
      <w:adjustRightInd w:val="0"/>
    </w:pPr>
    <w:rPr>
      <w:rFonts w:ascii="Courier New" w:hAnsi="Courier New" w:cs="Courier New"/>
    </w:rPr>
  </w:style>
  <w:style w:type="character" w:customStyle="1" w:styleId="FontStyle11">
    <w:name w:val="Font Style11"/>
    <w:rsid w:val="00D94C95"/>
    <w:rPr>
      <w:rFonts w:ascii="Times New Roman" w:hAnsi="Times New Roman" w:cs="Times New Roman"/>
      <w:sz w:val="26"/>
      <w:szCs w:val="26"/>
    </w:rPr>
  </w:style>
  <w:style w:type="paragraph" w:styleId="a8">
    <w:name w:val="Body Text Indent"/>
    <w:basedOn w:val="a"/>
    <w:rsid w:val="005A63FC"/>
    <w:pPr>
      <w:spacing w:after="120"/>
      <w:ind w:left="283"/>
    </w:pPr>
  </w:style>
  <w:style w:type="paragraph" w:styleId="a9">
    <w:name w:val="List Paragraph"/>
    <w:aliases w:val="Варианты ответов,Абзац списка для документа,ПС - Нумерованный"/>
    <w:basedOn w:val="a"/>
    <w:link w:val="aa"/>
    <w:uiPriority w:val="34"/>
    <w:qFormat/>
    <w:rsid w:val="000A573B"/>
    <w:pPr>
      <w:spacing w:after="200" w:line="276" w:lineRule="auto"/>
      <w:ind w:left="720"/>
      <w:contextualSpacing/>
    </w:pPr>
    <w:rPr>
      <w:rFonts w:ascii="Calibri" w:eastAsia="Times New Roman" w:hAnsi="Calibri"/>
      <w:sz w:val="22"/>
      <w:szCs w:val="22"/>
    </w:rPr>
  </w:style>
  <w:style w:type="character" w:customStyle="1" w:styleId="FontStyle17">
    <w:name w:val="Font Style17"/>
    <w:rsid w:val="000A573B"/>
    <w:rPr>
      <w:rFonts w:ascii="Times New Roman" w:hAnsi="Times New Roman" w:cs="Times New Roman"/>
      <w:sz w:val="26"/>
      <w:szCs w:val="26"/>
    </w:rPr>
  </w:style>
  <w:style w:type="paragraph" w:customStyle="1" w:styleId="Style2">
    <w:name w:val="Style2"/>
    <w:basedOn w:val="a"/>
    <w:rsid w:val="000A573B"/>
    <w:pPr>
      <w:widowControl w:val="0"/>
      <w:autoSpaceDE w:val="0"/>
      <w:autoSpaceDN w:val="0"/>
      <w:adjustRightInd w:val="0"/>
    </w:pPr>
    <w:rPr>
      <w:rFonts w:eastAsia="Times New Roman"/>
    </w:rPr>
  </w:style>
  <w:style w:type="paragraph" w:customStyle="1" w:styleId="1">
    <w:name w:val="1.Текст"/>
    <w:link w:val="10"/>
    <w:qFormat/>
    <w:rsid w:val="008E3FFF"/>
    <w:pPr>
      <w:suppressLineNumbers/>
      <w:spacing w:before="60"/>
      <w:ind w:firstLine="851"/>
      <w:jc w:val="both"/>
    </w:pPr>
    <w:rPr>
      <w:rFonts w:ascii="Arial" w:hAnsi="Arial"/>
      <w:sz w:val="24"/>
    </w:rPr>
  </w:style>
  <w:style w:type="paragraph" w:customStyle="1" w:styleId="5-">
    <w:name w:val="5.Табл.-шапка"/>
    <w:basedOn w:val="a"/>
    <w:rsid w:val="008E3FFF"/>
    <w:pPr>
      <w:widowControl w:val="0"/>
      <w:spacing w:before="20" w:after="20"/>
      <w:jc w:val="center"/>
    </w:pPr>
    <w:rPr>
      <w:rFonts w:ascii="Arial" w:eastAsia="Times New Roman" w:hAnsi="Arial"/>
      <w:sz w:val="20"/>
      <w:szCs w:val="20"/>
    </w:rPr>
  </w:style>
  <w:style w:type="paragraph" w:customStyle="1" w:styleId="6-">
    <w:name w:val="6.Табл.-данные"/>
    <w:qFormat/>
    <w:rsid w:val="008E3FFF"/>
    <w:pPr>
      <w:widowControl w:val="0"/>
      <w:jc w:val="center"/>
    </w:pPr>
    <w:rPr>
      <w:noProof/>
    </w:rPr>
  </w:style>
  <w:style w:type="paragraph" w:customStyle="1" w:styleId="4">
    <w:name w:val="4.Заголовок таблицы"/>
    <w:basedOn w:val="a"/>
    <w:next w:val="1"/>
    <w:rsid w:val="008E3FFF"/>
    <w:pPr>
      <w:widowControl w:val="0"/>
      <w:suppressAutoHyphens/>
      <w:spacing w:before="120"/>
      <w:jc w:val="center"/>
    </w:pPr>
    <w:rPr>
      <w:rFonts w:eastAsia="Times New Roman"/>
      <w:b/>
      <w:sz w:val="32"/>
      <w:szCs w:val="20"/>
    </w:rPr>
  </w:style>
  <w:style w:type="paragraph" w:customStyle="1" w:styleId="Style6">
    <w:name w:val="Style6"/>
    <w:basedOn w:val="a"/>
    <w:rsid w:val="00706AAA"/>
    <w:pPr>
      <w:widowControl w:val="0"/>
      <w:autoSpaceDE w:val="0"/>
      <w:autoSpaceDN w:val="0"/>
      <w:adjustRightInd w:val="0"/>
      <w:spacing w:line="275" w:lineRule="exact"/>
      <w:ind w:firstLine="538"/>
    </w:pPr>
    <w:rPr>
      <w:rFonts w:eastAsia="Times New Roman"/>
    </w:rPr>
  </w:style>
  <w:style w:type="paragraph" w:customStyle="1" w:styleId="Style1">
    <w:name w:val="Style1"/>
    <w:basedOn w:val="a"/>
    <w:rsid w:val="00706AAA"/>
    <w:pPr>
      <w:widowControl w:val="0"/>
      <w:autoSpaceDE w:val="0"/>
      <w:autoSpaceDN w:val="0"/>
      <w:adjustRightInd w:val="0"/>
      <w:spacing w:line="230" w:lineRule="exact"/>
      <w:jc w:val="center"/>
    </w:pPr>
    <w:rPr>
      <w:rFonts w:eastAsia="Times New Roman"/>
    </w:rPr>
  </w:style>
  <w:style w:type="paragraph" w:customStyle="1" w:styleId="Style3">
    <w:name w:val="Style3"/>
    <w:basedOn w:val="a"/>
    <w:rsid w:val="00706AAA"/>
    <w:pPr>
      <w:widowControl w:val="0"/>
      <w:autoSpaceDE w:val="0"/>
      <w:autoSpaceDN w:val="0"/>
      <w:adjustRightInd w:val="0"/>
      <w:spacing w:line="302" w:lineRule="exact"/>
      <w:ind w:firstLine="691"/>
    </w:pPr>
    <w:rPr>
      <w:rFonts w:eastAsia="Times New Roman"/>
    </w:rPr>
  </w:style>
  <w:style w:type="paragraph" w:customStyle="1" w:styleId="Style4">
    <w:name w:val="Style4"/>
    <w:basedOn w:val="a"/>
    <w:rsid w:val="00706AAA"/>
    <w:pPr>
      <w:widowControl w:val="0"/>
      <w:autoSpaceDE w:val="0"/>
      <w:autoSpaceDN w:val="0"/>
      <w:adjustRightInd w:val="0"/>
    </w:pPr>
    <w:rPr>
      <w:rFonts w:eastAsia="Times New Roman"/>
    </w:rPr>
  </w:style>
  <w:style w:type="paragraph" w:customStyle="1" w:styleId="Style5">
    <w:name w:val="Style5"/>
    <w:basedOn w:val="a"/>
    <w:rsid w:val="00706AAA"/>
    <w:pPr>
      <w:widowControl w:val="0"/>
      <w:autoSpaceDE w:val="0"/>
      <w:autoSpaceDN w:val="0"/>
      <w:adjustRightInd w:val="0"/>
    </w:pPr>
    <w:rPr>
      <w:rFonts w:eastAsia="Times New Roman"/>
    </w:rPr>
  </w:style>
  <w:style w:type="paragraph" w:customStyle="1" w:styleId="style10">
    <w:name w:val="style1"/>
    <w:basedOn w:val="a"/>
    <w:rsid w:val="006A2BE5"/>
    <w:pPr>
      <w:autoSpaceDE w:val="0"/>
      <w:autoSpaceDN w:val="0"/>
      <w:spacing w:line="277" w:lineRule="atLeast"/>
      <w:ind w:firstLine="557"/>
      <w:jc w:val="both"/>
    </w:pPr>
    <w:rPr>
      <w:rFonts w:eastAsia="Times New Roman"/>
    </w:rPr>
  </w:style>
  <w:style w:type="character" w:customStyle="1" w:styleId="fontstyle120">
    <w:name w:val="fontstyle12"/>
    <w:rsid w:val="006A2BE5"/>
    <w:rPr>
      <w:rFonts w:ascii="Times New Roman" w:hAnsi="Times New Roman" w:cs="Times New Roman" w:hint="default"/>
    </w:rPr>
  </w:style>
  <w:style w:type="paragraph" w:customStyle="1" w:styleId="Style19">
    <w:name w:val="Style19"/>
    <w:basedOn w:val="a"/>
    <w:rsid w:val="00870E8F"/>
    <w:pPr>
      <w:widowControl w:val="0"/>
      <w:autoSpaceDE w:val="0"/>
      <w:autoSpaceDN w:val="0"/>
      <w:adjustRightInd w:val="0"/>
      <w:spacing w:line="274" w:lineRule="exact"/>
      <w:ind w:hanging="120"/>
    </w:pPr>
    <w:rPr>
      <w:rFonts w:eastAsia="Times New Roman"/>
    </w:rPr>
  </w:style>
  <w:style w:type="paragraph" w:customStyle="1" w:styleId="Style20">
    <w:name w:val="Style20"/>
    <w:basedOn w:val="a"/>
    <w:rsid w:val="00870E8F"/>
    <w:pPr>
      <w:widowControl w:val="0"/>
      <w:autoSpaceDE w:val="0"/>
      <w:autoSpaceDN w:val="0"/>
      <w:adjustRightInd w:val="0"/>
      <w:spacing w:line="281" w:lineRule="exact"/>
      <w:ind w:firstLine="120"/>
    </w:pPr>
    <w:rPr>
      <w:rFonts w:eastAsia="Times New Roman"/>
    </w:rPr>
  </w:style>
  <w:style w:type="paragraph" w:customStyle="1" w:styleId="Style22">
    <w:name w:val="Style22"/>
    <w:basedOn w:val="a"/>
    <w:rsid w:val="00870E8F"/>
    <w:pPr>
      <w:widowControl w:val="0"/>
      <w:autoSpaceDE w:val="0"/>
      <w:autoSpaceDN w:val="0"/>
      <w:adjustRightInd w:val="0"/>
      <w:spacing w:line="275" w:lineRule="exact"/>
      <w:ind w:firstLine="552"/>
      <w:jc w:val="both"/>
    </w:pPr>
    <w:rPr>
      <w:rFonts w:eastAsia="Times New Roman"/>
    </w:rPr>
  </w:style>
  <w:style w:type="paragraph" w:styleId="ab">
    <w:name w:val="Title"/>
    <w:basedOn w:val="a"/>
    <w:link w:val="ac"/>
    <w:qFormat/>
    <w:rsid w:val="00870E8F"/>
    <w:pPr>
      <w:jc w:val="center"/>
    </w:pPr>
    <w:rPr>
      <w:rFonts w:eastAsia="Times New Roman"/>
      <w:b/>
      <w:sz w:val="28"/>
      <w:szCs w:val="20"/>
      <w:lang w:val="x-none" w:eastAsia="x-none"/>
    </w:rPr>
  </w:style>
  <w:style w:type="character" w:customStyle="1" w:styleId="ac">
    <w:name w:val="Название Знак"/>
    <w:link w:val="ab"/>
    <w:rsid w:val="00870E8F"/>
    <w:rPr>
      <w:b/>
      <w:sz w:val="28"/>
    </w:rPr>
  </w:style>
  <w:style w:type="character" w:customStyle="1" w:styleId="highlighthighlightactive">
    <w:name w:val="highlight highlight_active"/>
    <w:basedOn w:val="a0"/>
    <w:rsid w:val="00CD0349"/>
  </w:style>
  <w:style w:type="paragraph" w:customStyle="1" w:styleId="ad">
    <w:name w:val="Знак"/>
    <w:basedOn w:val="a"/>
    <w:rsid w:val="004279F1"/>
    <w:pPr>
      <w:spacing w:after="160" w:line="240" w:lineRule="exact"/>
    </w:pPr>
    <w:rPr>
      <w:rFonts w:ascii="Verdana" w:eastAsia="Times New Roman" w:hAnsi="Verdana"/>
      <w:sz w:val="20"/>
      <w:szCs w:val="20"/>
      <w:lang w:val="en-US" w:eastAsia="en-US"/>
    </w:rPr>
  </w:style>
  <w:style w:type="paragraph" w:styleId="ae">
    <w:name w:val="header"/>
    <w:basedOn w:val="a"/>
    <w:link w:val="af"/>
    <w:rsid w:val="000F0951"/>
    <w:pPr>
      <w:tabs>
        <w:tab w:val="center" w:pos="4677"/>
        <w:tab w:val="right" w:pos="9355"/>
      </w:tabs>
    </w:pPr>
  </w:style>
  <w:style w:type="character" w:customStyle="1" w:styleId="af">
    <w:name w:val="Верхний колонтитул Знак"/>
    <w:link w:val="ae"/>
    <w:rsid w:val="000F0951"/>
    <w:rPr>
      <w:rFonts w:eastAsia="Calibri"/>
      <w:sz w:val="24"/>
      <w:szCs w:val="24"/>
    </w:rPr>
  </w:style>
  <w:style w:type="paragraph" w:styleId="af0">
    <w:name w:val="footer"/>
    <w:basedOn w:val="a"/>
    <w:link w:val="af1"/>
    <w:uiPriority w:val="99"/>
    <w:rsid w:val="000F0951"/>
    <w:pPr>
      <w:tabs>
        <w:tab w:val="center" w:pos="4677"/>
        <w:tab w:val="right" w:pos="9355"/>
      </w:tabs>
    </w:pPr>
  </w:style>
  <w:style w:type="character" w:customStyle="1" w:styleId="af1">
    <w:name w:val="Нижний колонтитул Знак"/>
    <w:link w:val="af0"/>
    <w:uiPriority w:val="99"/>
    <w:rsid w:val="000F0951"/>
    <w:rPr>
      <w:rFonts w:eastAsia="Calibri"/>
      <w:sz w:val="24"/>
      <w:szCs w:val="24"/>
    </w:rPr>
  </w:style>
  <w:style w:type="character" w:customStyle="1" w:styleId="style41">
    <w:name w:val="style41"/>
    <w:rsid w:val="00AF07EA"/>
    <w:rPr>
      <w:b/>
      <w:bCs/>
      <w:sz w:val="24"/>
      <w:szCs w:val="24"/>
    </w:rPr>
  </w:style>
  <w:style w:type="character" w:customStyle="1" w:styleId="a6">
    <w:name w:val="Без интервала Знак"/>
    <w:link w:val="a5"/>
    <w:uiPriority w:val="1"/>
    <w:rsid w:val="00E67815"/>
    <w:rPr>
      <w:rFonts w:ascii="Calibri" w:eastAsia="Calibri" w:hAnsi="Calibri"/>
      <w:sz w:val="22"/>
      <w:szCs w:val="22"/>
      <w:lang w:val="ru-RU" w:eastAsia="en-US" w:bidi="ar-SA"/>
    </w:rPr>
  </w:style>
  <w:style w:type="character" w:customStyle="1" w:styleId="text3">
    <w:name w:val="text3"/>
    <w:rsid w:val="00AD1589"/>
    <w:rPr>
      <w:rFonts w:ascii="Arial" w:hAnsi="Arial" w:cs="Arial" w:hint="default"/>
      <w:sz w:val="18"/>
      <w:szCs w:val="18"/>
    </w:rPr>
  </w:style>
  <w:style w:type="paragraph" w:styleId="af2">
    <w:name w:val="footnote text"/>
    <w:basedOn w:val="a"/>
    <w:semiHidden/>
    <w:rsid w:val="002F25E4"/>
    <w:rPr>
      <w:sz w:val="20"/>
      <w:szCs w:val="20"/>
    </w:rPr>
  </w:style>
  <w:style w:type="character" w:styleId="af3">
    <w:name w:val="footnote reference"/>
    <w:semiHidden/>
    <w:rsid w:val="002F25E4"/>
    <w:rPr>
      <w:vertAlign w:val="superscript"/>
    </w:rPr>
  </w:style>
  <w:style w:type="table" w:styleId="af4">
    <w:name w:val="Table Grid"/>
    <w:basedOn w:val="a1"/>
    <w:uiPriority w:val="59"/>
    <w:rsid w:val="003047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92E1D"/>
  </w:style>
  <w:style w:type="character" w:customStyle="1" w:styleId="FontStyle13">
    <w:name w:val="Font Style13"/>
    <w:rsid w:val="00280821"/>
    <w:rPr>
      <w:rFonts w:ascii="Times New Roman" w:hAnsi="Times New Roman" w:cs="Times New Roman"/>
      <w:sz w:val="22"/>
      <w:szCs w:val="22"/>
    </w:rPr>
  </w:style>
  <w:style w:type="paragraph" w:customStyle="1" w:styleId="ConsPlusCell">
    <w:name w:val="ConsPlusCell"/>
    <w:rsid w:val="00280821"/>
    <w:pPr>
      <w:widowControl w:val="0"/>
      <w:autoSpaceDE w:val="0"/>
      <w:autoSpaceDN w:val="0"/>
      <w:adjustRightInd w:val="0"/>
    </w:pPr>
    <w:rPr>
      <w:sz w:val="24"/>
      <w:szCs w:val="24"/>
    </w:rPr>
  </w:style>
  <w:style w:type="character" w:customStyle="1" w:styleId="af5">
    <w:name w:val="Заголовок сообщения (текст)"/>
    <w:rsid w:val="00280821"/>
    <w:rPr>
      <w:b/>
      <w:bCs w:val="0"/>
      <w:sz w:val="18"/>
    </w:rPr>
  </w:style>
  <w:style w:type="paragraph" w:customStyle="1" w:styleId="Textbody">
    <w:name w:val="Text body"/>
    <w:basedOn w:val="a"/>
    <w:rsid w:val="00822C35"/>
    <w:pPr>
      <w:widowControl w:val="0"/>
      <w:suppressAutoHyphens/>
      <w:autoSpaceDN w:val="0"/>
      <w:spacing w:after="120"/>
      <w:textAlignment w:val="baseline"/>
    </w:pPr>
    <w:rPr>
      <w:rFonts w:eastAsia="SimSun" w:cs="Mangal"/>
      <w:kern w:val="3"/>
      <w:lang w:eastAsia="zh-CN" w:bidi="hi-IN"/>
    </w:rPr>
  </w:style>
  <w:style w:type="character" w:styleId="af6">
    <w:name w:val="annotation reference"/>
    <w:rsid w:val="00E426E5"/>
    <w:rPr>
      <w:sz w:val="16"/>
      <w:szCs w:val="16"/>
    </w:rPr>
  </w:style>
  <w:style w:type="paragraph" w:styleId="af7">
    <w:name w:val="annotation text"/>
    <w:basedOn w:val="a"/>
    <w:link w:val="af8"/>
    <w:rsid w:val="00E426E5"/>
    <w:rPr>
      <w:sz w:val="20"/>
      <w:szCs w:val="20"/>
    </w:rPr>
  </w:style>
  <w:style w:type="character" w:customStyle="1" w:styleId="af8">
    <w:name w:val="Текст примечания Знак"/>
    <w:link w:val="af7"/>
    <w:rsid w:val="00E426E5"/>
    <w:rPr>
      <w:rFonts w:eastAsia="Calibri"/>
    </w:rPr>
  </w:style>
  <w:style w:type="paragraph" w:styleId="af9">
    <w:name w:val="annotation subject"/>
    <w:basedOn w:val="af7"/>
    <w:next w:val="af7"/>
    <w:link w:val="afa"/>
    <w:rsid w:val="00E426E5"/>
    <w:rPr>
      <w:b/>
      <w:bCs/>
    </w:rPr>
  </w:style>
  <w:style w:type="character" w:customStyle="1" w:styleId="afa">
    <w:name w:val="Тема примечания Знак"/>
    <w:link w:val="af9"/>
    <w:rsid w:val="00E426E5"/>
    <w:rPr>
      <w:rFonts w:eastAsia="Calibri"/>
      <w:b/>
      <w:bCs/>
    </w:rPr>
  </w:style>
  <w:style w:type="paragraph" w:styleId="afb">
    <w:name w:val="Balloon Text"/>
    <w:basedOn w:val="a"/>
    <w:link w:val="afc"/>
    <w:rsid w:val="00E426E5"/>
    <w:rPr>
      <w:rFonts w:ascii="Segoe UI" w:hAnsi="Segoe UI" w:cs="Segoe UI"/>
      <w:sz w:val="18"/>
      <w:szCs w:val="18"/>
    </w:rPr>
  </w:style>
  <w:style w:type="character" w:customStyle="1" w:styleId="afc">
    <w:name w:val="Текст выноски Знак"/>
    <w:link w:val="afb"/>
    <w:rsid w:val="00E426E5"/>
    <w:rPr>
      <w:rFonts w:ascii="Segoe UI" w:eastAsia="Calibri" w:hAnsi="Segoe UI" w:cs="Segoe UI"/>
      <w:sz w:val="18"/>
      <w:szCs w:val="18"/>
    </w:rPr>
  </w:style>
  <w:style w:type="paragraph" w:customStyle="1" w:styleId="afd">
    <w:name w:val="Документ"/>
    <w:basedOn w:val="a"/>
    <w:qFormat/>
    <w:rsid w:val="001F013D"/>
    <w:pPr>
      <w:jc w:val="both"/>
    </w:pPr>
    <w:rPr>
      <w:rFonts w:ascii="Arial" w:hAnsi="Arial" w:cs="Arial"/>
      <w:lang w:eastAsia="en-US"/>
    </w:rPr>
  </w:style>
  <w:style w:type="paragraph" w:styleId="afe">
    <w:name w:val="Revision"/>
    <w:hidden/>
    <w:uiPriority w:val="99"/>
    <w:semiHidden/>
    <w:rsid w:val="00C737DB"/>
    <w:rPr>
      <w:rFonts w:eastAsia="Calibri"/>
      <w:sz w:val="24"/>
      <w:szCs w:val="24"/>
    </w:rPr>
  </w:style>
  <w:style w:type="character" w:styleId="aff">
    <w:name w:val="Emphasis"/>
    <w:uiPriority w:val="20"/>
    <w:qFormat/>
    <w:rsid w:val="00B06B26"/>
    <w:rPr>
      <w:i/>
      <w:iCs/>
    </w:rPr>
  </w:style>
  <w:style w:type="character" w:customStyle="1" w:styleId="aa">
    <w:name w:val="Абзац списка Знак"/>
    <w:aliases w:val="Варианты ответов Знак,Абзац списка для документа Знак,ПС - Нумерованный Знак"/>
    <w:link w:val="a9"/>
    <w:uiPriority w:val="99"/>
    <w:rsid w:val="00D65C60"/>
    <w:rPr>
      <w:rFonts w:ascii="Calibri" w:hAnsi="Calibri"/>
      <w:sz w:val="22"/>
      <w:szCs w:val="22"/>
    </w:rPr>
  </w:style>
  <w:style w:type="character" w:customStyle="1" w:styleId="10">
    <w:name w:val="1.Текст Знак"/>
    <w:link w:val="1"/>
    <w:rsid w:val="00D65C6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95"/>
    <w:rPr>
      <w:rFonts w:eastAsia="Calibri"/>
      <w:sz w:val="24"/>
      <w:szCs w:val="24"/>
    </w:rPr>
  </w:style>
  <w:style w:type="paragraph" w:styleId="2">
    <w:name w:val="heading 2"/>
    <w:basedOn w:val="a"/>
    <w:next w:val="a"/>
    <w:link w:val="20"/>
    <w:qFormat/>
    <w:rsid w:val="00D94C95"/>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95"/>
    <w:pPr>
      <w:autoSpaceDE w:val="0"/>
      <w:autoSpaceDN w:val="0"/>
      <w:adjustRightInd w:val="0"/>
      <w:ind w:firstLine="720"/>
    </w:pPr>
    <w:rPr>
      <w:rFonts w:ascii="Arial" w:eastAsia="Calibri" w:hAnsi="Arial" w:cs="Arial"/>
      <w:sz w:val="26"/>
      <w:szCs w:val="26"/>
    </w:rPr>
  </w:style>
  <w:style w:type="paragraph" w:styleId="a3">
    <w:name w:val="Body Text"/>
    <w:basedOn w:val="a"/>
    <w:link w:val="a4"/>
    <w:rsid w:val="00D94C95"/>
    <w:pPr>
      <w:spacing w:after="120"/>
    </w:pPr>
  </w:style>
  <w:style w:type="character" w:customStyle="1" w:styleId="a4">
    <w:name w:val="Основной текст Знак"/>
    <w:link w:val="a3"/>
    <w:locked/>
    <w:rsid w:val="00D94C95"/>
    <w:rPr>
      <w:rFonts w:eastAsia="Calibri"/>
      <w:sz w:val="24"/>
      <w:szCs w:val="24"/>
      <w:lang w:val="ru-RU" w:eastAsia="ru-RU" w:bidi="ar-SA"/>
    </w:rPr>
  </w:style>
  <w:style w:type="paragraph" w:styleId="21">
    <w:name w:val="Body Text Indent 2"/>
    <w:basedOn w:val="a"/>
    <w:link w:val="22"/>
    <w:rsid w:val="00D94C95"/>
    <w:pPr>
      <w:spacing w:after="120" w:line="480" w:lineRule="auto"/>
      <w:ind w:left="283"/>
    </w:pPr>
    <w:rPr>
      <w:rFonts w:eastAsia="Times New Roman"/>
    </w:rPr>
  </w:style>
  <w:style w:type="character" w:customStyle="1" w:styleId="22">
    <w:name w:val="Основной текст с отступом 2 Знак"/>
    <w:link w:val="21"/>
    <w:locked/>
    <w:rsid w:val="00D94C95"/>
    <w:rPr>
      <w:sz w:val="24"/>
      <w:szCs w:val="24"/>
      <w:lang w:val="ru-RU" w:eastAsia="ru-RU" w:bidi="ar-SA"/>
    </w:rPr>
  </w:style>
  <w:style w:type="paragraph" w:styleId="a5">
    <w:name w:val="No Spacing"/>
    <w:link w:val="a6"/>
    <w:uiPriority w:val="1"/>
    <w:qFormat/>
    <w:rsid w:val="00D94C95"/>
    <w:rPr>
      <w:rFonts w:ascii="Calibri" w:eastAsia="Calibri" w:hAnsi="Calibri"/>
      <w:sz w:val="22"/>
      <w:szCs w:val="22"/>
      <w:lang w:eastAsia="en-US"/>
    </w:rPr>
  </w:style>
  <w:style w:type="character" w:customStyle="1" w:styleId="20">
    <w:name w:val="Заголовок 2 Знак"/>
    <w:link w:val="2"/>
    <w:semiHidden/>
    <w:locked/>
    <w:rsid w:val="00D94C95"/>
    <w:rPr>
      <w:rFonts w:ascii="Arial" w:hAnsi="Arial" w:cs="Arial"/>
      <w:b/>
      <w:bCs/>
      <w:i/>
      <w:iCs/>
      <w:sz w:val="28"/>
      <w:szCs w:val="28"/>
      <w:lang w:val="ru-RU" w:eastAsia="ru-RU" w:bidi="ar-SA"/>
    </w:rPr>
  </w:style>
  <w:style w:type="paragraph" w:styleId="a7">
    <w:name w:val="caption"/>
    <w:basedOn w:val="a"/>
    <w:qFormat/>
    <w:rsid w:val="00D94C95"/>
    <w:pPr>
      <w:jc w:val="center"/>
    </w:pPr>
    <w:rPr>
      <w:rFonts w:eastAsia="Times New Roman"/>
      <w:b/>
      <w:sz w:val="28"/>
      <w:szCs w:val="20"/>
    </w:rPr>
  </w:style>
  <w:style w:type="paragraph" w:styleId="3">
    <w:name w:val="Body Text Indent 3"/>
    <w:basedOn w:val="a"/>
    <w:rsid w:val="00D94C95"/>
    <w:pPr>
      <w:spacing w:after="120"/>
      <w:ind w:left="283"/>
    </w:pPr>
    <w:rPr>
      <w:sz w:val="16"/>
      <w:szCs w:val="16"/>
    </w:rPr>
  </w:style>
  <w:style w:type="character" w:customStyle="1" w:styleId="FontStyle12">
    <w:name w:val="Font Style12"/>
    <w:rsid w:val="00D94C95"/>
    <w:rPr>
      <w:rFonts w:ascii="Times New Roman" w:hAnsi="Times New Roman" w:cs="Times New Roman"/>
      <w:sz w:val="22"/>
      <w:szCs w:val="22"/>
    </w:rPr>
  </w:style>
  <w:style w:type="character" w:customStyle="1" w:styleId="FontStyle16">
    <w:name w:val="Font Style16"/>
    <w:rsid w:val="00D94C95"/>
    <w:rPr>
      <w:rFonts w:ascii="Times New Roman" w:hAnsi="Times New Roman" w:cs="Times New Roman"/>
      <w:sz w:val="22"/>
      <w:szCs w:val="22"/>
    </w:rPr>
  </w:style>
  <w:style w:type="paragraph" w:customStyle="1" w:styleId="maintext">
    <w:name w:val="maintext"/>
    <w:basedOn w:val="a"/>
    <w:rsid w:val="00D94C95"/>
    <w:pPr>
      <w:spacing w:before="100" w:beforeAutospacing="1" w:after="100" w:afterAutospacing="1"/>
      <w:ind w:left="300" w:right="300"/>
      <w:jc w:val="both"/>
    </w:pPr>
    <w:rPr>
      <w:rFonts w:ascii="Arial" w:eastAsia="Times New Roman" w:hAnsi="Arial" w:cs="Arial"/>
      <w:color w:val="000000"/>
      <w:sz w:val="18"/>
      <w:szCs w:val="18"/>
    </w:rPr>
  </w:style>
  <w:style w:type="paragraph" w:customStyle="1" w:styleId="ConsPlusTitle">
    <w:name w:val="ConsPlusTitle"/>
    <w:rsid w:val="00D94C95"/>
    <w:pPr>
      <w:widowControl w:val="0"/>
      <w:autoSpaceDE w:val="0"/>
      <w:autoSpaceDN w:val="0"/>
      <w:adjustRightInd w:val="0"/>
    </w:pPr>
    <w:rPr>
      <w:rFonts w:ascii="Arial" w:hAnsi="Arial" w:cs="Arial"/>
      <w:b/>
      <w:bCs/>
    </w:rPr>
  </w:style>
  <w:style w:type="paragraph" w:customStyle="1" w:styleId="ConsPlusNonformat">
    <w:name w:val="ConsPlusNonformat"/>
    <w:rsid w:val="00D94C95"/>
    <w:pPr>
      <w:widowControl w:val="0"/>
      <w:autoSpaceDE w:val="0"/>
      <w:autoSpaceDN w:val="0"/>
      <w:adjustRightInd w:val="0"/>
    </w:pPr>
    <w:rPr>
      <w:rFonts w:ascii="Courier New" w:hAnsi="Courier New" w:cs="Courier New"/>
    </w:rPr>
  </w:style>
  <w:style w:type="character" w:customStyle="1" w:styleId="FontStyle11">
    <w:name w:val="Font Style11"/>
    <w:rsid w:val="00D94C95"/>
    <w:rPr>
      <w:rFonts w:ascii="Times New Roman" w:hAnsi="Times New Roman" w:cs="Times New Roman"/>
      <w:sz w:val="26"/>
      <w:szCs w:val="26"/>
    </w:rPr>
  </w:style>
  <w:style w:type="paragraph" w:styleId="a8">
    <w:name w:val="Body Text Indent"/>
    <w:basedOn w:val="a"/>
    <w:rsid w:val="005A63FC"/>
    <w:pPr>
      <w:spacing w:after="120"/>
      <w:ind w:left="283"/>
    </w:pPr>
  </w:style>
  <w:style w:type="paragraph" w:styleId="a9">
    <w:name w:val="List Paragraph"/>
    <w:aliases w:val="Варианты ответов,Абзац списка для документа,ПС - Нумерованный"/>
    <w:basedOn w:val="a"/>
    <w:link w:val="aa"/>
    <w:uiPriority w:val="34"/>
    <w:qFormat/>
    <w:rsid w:val="000A573B"/>
    <w:pPr>
      <w:spacing w:after="200" w:line="276" w:lineRule="auto"/>
      <w:ind w:left="720"/>
      <w:contextualSpacing/>
    </w:pPr>
    <w:rPr>
      <w:rFonts w:ascii="Calibri" w:eastAsia="Times New Roman" w:hAnsi="Calibri"/>
      <w:sz w:val="22"/>
      <w:szCs w:val="22"/>
    </w:rPr>
  </w:style>
  <w:style w:type="character" w:customStyle="1" w:styleId="FontStyle17">
    <w:name w:val="Font Style17"/>
    <w:rsid w:val="000A573B"/>
    <w:rPr>
      <w:rFonts w:ascii="Times New Roman" w:hAnsi="Times New Roman" w:cs="Times New Roman"/>
      <w:sz w:val="26"/>
      <w:szCs w:val="26"/>
    </w:rPr>
  </w:style>
  <w:style w:type="paragraph" w:customStyle="1" w:styleId="Style2">
    <w:name w:val="Style2"/>
    <w:basedOn w:val="a"/>
    <w:rsid w:val="000A573B"/>
    <w:pPr>
      <w:widowControl w:val="0"/>
      <w:autoSpaceDE w:val="0"/>
      <w:autoSpaceDN w:val="0"/>
      <w:adjustRightInd w:val="0"/>
    </w:pPr>
    <w:rPr>
      <w:rFonts w:eastAsia="Times New Roman"/>
    </w:rPr>
  </w:style>
  <w:style w:type="paragraph" w:customStyle="1" w:styleId="1">
    <w:name w:val="1.Текст"/>
    <w:link w:val="10"/>
    <w:qFormat/>
    <w:rsid w:val="008E3FFF"/>
    <w:pPr>
      <w:suppressLineNumbers/>
      <w:spacing w:before="60"/>
      <w:ind w:firstLine="851"/>
      <w:jc w:val="both"/>
    </w:pPr>
    <w:rPr>
      <w:rFonts w:ascii="Arial" w:hAnsi="Arial"/>
      <w:sz w:val="24"/>
    </w:rPr>
  </w:style>
  <w:style w:type="paragraph" w:customStyle="1" w:styleId="5-">
    <w:name w:val="5.Табл.-шапка"/>
    <w:basedOn w:val="a"/>
    <w:rsid w:val="008E3FFF"/>
    <w:pPr>
      <w:widowControl w:val="0"/>
      <w:spacing w:before="20" w:after="20"/>
      <w:jc w:val="center"/>
    </w:pPr>
    <w:rPr>
      <w:rFonts w:ascii="Arial" w:eastAsia="Times New Roman" w:hAnsi="Arial"/>
      <w:sz w:val="20"/>
      <w:szCs w:val="20"/>
    </w:rPr>
  </w:style>
  <w:style w:type="paragraph" w:customStyle="1" w:styleId="6-">
    <w:name w:val="6.Табл.-данные"/>
    <w:qFormat/>
    <w:rsid w:val="008E3FFF"/>
    <w:pPr>
      <w:widowControl w:val="0"/>
      <w:jc w:val="center"/>
    </w:pPr>
    <w:rPr>
      <w:noProof/>
    </w:rPr>
  </w:style>
  <w:style w:type="paragraph" w:customStyle="1" w:styleId="4">
    <w:name w:val="4.Заголовок таблицы"/>
    <w:basedOn w:val="a"/>
    <w:next w:val="1"/>
    <w:rsid w:val="008E3FFF"/>
    <w:pPr>
      <w:widowControl w:val="0"/>
      <w:suppressAutoHyphens/>
      <w:spacing w:before="120"/>
      <w:jc w:val="center"/>
    </w:pPr>
    <w:rPr>
      <w:rFonts w:eastAsia="Times New Roman"/>
      <w:b/>
      <w:sz w:val="32"/>
      <w:szCs w:val="20"/>
    </w:rPr>
  </w:style>
  <w:style w:type="paragraph" w:customStyle="1" w:styleId="Style6">
    <w:name w:val="Style6"/>
    <w:basedOn w:val="a"/>
    <w:rsid w:val="00706AAA"/>
    <w:pPr>
      <w:widowControl w:val="0"/>
      <w:autoSpaceDE w:val="0"/>
      <w:autoSpaceDN w:val="0"/>
      <w:adjustRightInd w:val="0"/>
      <w:spacing w:line="275" w:lineRule="exact"/>
      <w:ind w:firstLine="538"/>
    </w:pPr>
    <w:rPr>
      <w:rFonts w:eastAsia="Times New Roman"/>
    </w:rPr>
  </w:style>
  <w:style w:type="paragraph" w:customStyle="1" w:styleId="Style1">
    <w:name w:val="Style1"/>
    <w:basedOn w:val="a"/>
    <w:rsid w:val="00706AAA"/>
    <w:pPr>
      <w:widowControl w:val="0"/>
      <w:autoSpaceDE w:val="0"/>
      <w:autoSpaceDN w:val="0"/>
      <w:adjustRightInd w:val="0"/>
      <w:spacing w:line="230" w:lineRule="exact"/>
      <w:jc w:val="center"/>
    </w:pPr>
    <w:rPr>
      <w:rFonts w:eastAsia="Times New Roman"/>
    </w:rPr>
  </w:style>
  <w:style w:type="paragraph" w:customStyle="1" w:styleId="Style3">
    <w:name w:val="Style3"/>
    <w:basedOn w:val="a"/>
    <w:rsid w:val="00706AAA"/>
    <w:pPr>
      <w:widowControl w:val="0"/>
      <w:autoSpaceDE w:val="0"/>
      <w:autoSpaceDN w:val="0"/>
      <w:adjustRightInd w:val="0"/>
      <w:spacing w:line="302" w:lineRule="exact"/>
      <w:ind w:firstLine="691"/>
    </w:pPr>
    <w:rPr>
      <w:rFonts w:eastAsia="Times New Roman"/>
    </w:rPr>
  </w:style>
  <w:style w:type="paragraph" w:customStyle="1" w:styleId="Style4">
    <w:name w:val="Style4"/>
    <w:basedOn w:val="a"/>
    <w:rsid w:val="00706AAA"/>
    <w:pPr>
      <w:widowControl w:val="0"/>
      <w:autoSpaceDE w:val="0"/>
      <w:autoSpaceDN w:val="0"/>
      <w:adjustRightInd w:val="0"/>
    </w:pPr>
    <w:rPr>
      <w:rFonts w:eastAsia="Times New Roman"/>
    </w:rPr>
  </w:style>
  <w:style w:type="paragraph" w:customStyle="1" w:styleId="Style5">
    <w:name w:val="Style5"/>
    <w:basedOn w:val="a"/>
    <w:rsid w:val="00706AAA"/>
    <w:pPr>
      <w:widowControl w:val="0"/>
      <w:autoSpaceDE w:val="0"/>
      <w:autoSpaceDN w:val="0"/>
      <w:adjustRightInd w:val="0"/>
    </w:pPr>
    <w:rPr>
      <w:rFonts w:eastAsia="Times New Roman"/>
    </w:rPr>
  </w:style>
  <w:style w:type="paragraph" w:customStyle="1" w:styleId="style10">
    <w:name w:val="style1"/>
    <w:basedOn w:val="a"/>
    <w:rsid w:val="006A2BE5"/>
    <w:pPr>
      <w:autoSpaceDE w:val="0"/>
      <w:autoSpaceDN w:val="0"/>
      <w:spacing w:line="277" w:lineRule="atLeast"/>
      <w:ind w:firstLine="557"/>
      <w:jc w:val="both"/>
    </w:pPr>
    <w:rPr>
      <w:rFonts w:eastAsia="Times New Roman"/>
    </w:rPr>
  </w:style>
  <w:style w:type="character" w:customStyle="1" w:styleId="fontstyle120">
    <w:name w:val="fontstyle12"/>
    <w:rsid w:val="006A2BE5"/>
    <w:rPr>
      <w:rFonts w:ascii="Times New Roman" w:hAnsi="Times New Roman" w:cs="Times New Roman" w:hint="default"/>
    </w:rPr>
  </w:style>
  <w:style w:type="paragraph" w:customStyle="1" w:styleId="Style19">
    <w:name w:val="Style19"/>
    <w:basedOn w:val="a"/>
    <w:rsid w:val="00870E8F"/>
    <w:pPr>
      <w:widowControl w:val="0"/>
      <w:autoSpaceDE w:val="0"/>
      <w:autoSpaceDN w:val="0"/>
      <w:adjustRightInd w:val="0"/>
      <w:spacing w:line="274" w:lineRule="exact"/>
      <w:ind w:hanging="120"/>
    </w:pPr>
    <w:rPr>
      <w:rFonts w:eastAsia="Times New Roman"/>
    </w:rPr>
  </w:style>
  <w:style w:type="paragraph" w:customStyle="1" w:styleId="Style20">
    <w:name w:val="Style20"/>
    <w:basedOn w:val="a"/>
    <w:rsid w:val="00870E8F"/>
    <w:pPr>
      <w:widowControl w:val="0"/>
      <w:autoSpaceDE w:val="0"/>
      <w:autoSpaceDN w:val="0"/>
      <w:adjustRightInd w:val="0"/>
      <w:spacing w:line="281" w:lineRule="exact"/>
      <w:ind w:firstLine="120"/>
    </w:pPr>
    <w:rPr>
      <w:rFonts w:eastAsia="Times New Roman"/>
    </w:rPr>
  </w:style>
  <w:style w:type="paragraph" w:customStyle="1" w:styleId="Style22">
    <w:name w:val="Style22"/>
    <w:basedOn w:val="a"/>
    <w:rsid w:val="00870E8F"/>
    <w:pPr>
      <w:widowControl w:val="0"/>
      <w:autoSpaceDE w:val="0"/>
      <w:autoSpaceDN w:val="0"/>
      <w:adjustRightInd w:val="0"/>
      <w:spacing w:line="275" w:lineRule="exact"/>
      <w:ind w:firstLine="552"/>
      <w:jc w:val="both"/>
    </w:pPr>
    <w:rPr>
      <w:rFonts w:eastAsia="Times New Roman"/>
    </w:rPr>
  </w:style>
  <w:style w:type="paragraph" w:styleId="ab">
    <w:name w:val="Title"/>
    <w:basedOn w:val="a"/>
    <w:link w:val="ac"/>
    <w:qFormat/>
    <w:rsid w:val="00870E8F"/>
    <w:pPr>
      <w:jc w:val="center"/>
    </w:pPr>
    <w:rPr>
      <w:rFonts w:eastAsia="Times New Roman"/>
      <w:b/>
      <w:sz w:val="28"/>
      <w:szCs w:val="20"/>
      <w:lang w:val="x-none" w:eastAsia="x-none"/>
    </w:rPr>
  </w:style>
  <w:style w:type="character" w:customStyle="1" w:styleId="ac">
    <w:name w:val="Название Знак"/>
    <w:link w:val="ab"/>
    <w:rsid w:val="00870E8F"/>
    <w:rPr>
      <w:b/>
      <w:sz w:val="28"/>
    </w:rPr>
  </w:style>
  <w:style w:type="character" w:customStyle="1" w:styleId="highlighthighlightactive">
    <w:name w:val="highlight highlight_active"/>
    <w:basedOn w:val="a0"/>
    <w:rsid w:val="00CD0349"/>
  </w:style>
  <w:style w:type="paragraph" w:customStyle="1" w:styleId="ad">
    <w:name w:val="Знак"/>
    <w:basedOn w:val="a"/>
    <w:rsid w:val="004279F1"/>
    <w:pPr>
      <w:spacing w:after="160" w:line="240" w:lineRule="exact"/>
    </w:pPr>
    <w:rPr>
      <w:rFonts w:ascii="Verdana" w:eastAsia="Times New Roman" w:hAnsi="Verdana"/>
      <w:sz w:val="20"/>
      <w:szCs w:val="20"/>
      <w:lang w:val="en-US" w:eastAsia="en-US"/>
    </w:rPr>
  </w:style>
  <w:style w:type="paragraph" w:styleId="ae">
    <w:name w:val="header"/>
    <w:basedOn w:val="a"/>
    <w:link w:val="af"/>
    <w:rsid w:val="000F0951"/>
    <w:pPr>
      <w:tabs>
        <w:tab w:val="center" w:pos="4677"/>
        <w:tab w:val="right" w:pos="9355"/>
      </w:tabs>
    </w:pPr>
  </w:style>
  <w:style w:type="character" w:customStyle="1" w:styleId="af">
    <w:name w:val="Верхний колонтитул Знак"/>
    <w:link w:val="ae"/>
    <w:rsid w:val="000F0951"/>
    <w:rPr>
      <w:rFonts w:eastAsia="Calibri"/>
      <w:sz w:val="24"/>
      <w:szCs w:val="24"/>
    </w:rPr>
  </w:style>
  <w:style w:type="paragraph" w:styleId="af0">
    <w:name w:val="footer"/>
    <w:basedOn w:val="a"/>
    <w:link w:val="af1"/>
    <w:uiPriority w:val="99"/>
    <w:rsid w:val="000F0951"/>
    <w:pPr>
      <w:tabs>
        <w:tab w:val="center" w:pos="4677"/>
        <w:tab w:val="right" w:pos="9355"/>
      </w:tabs>
    </w:pPr>
  </w:style>
  <w:style w:type="character" w:customStyle="1" w:styleId="af1">
    <w:name w:val="Нижний колонтитул Знак"/>
    <w:link w:val="af0"/>
    <w:uiPriority w:val="99"/>
    <w:rsid w:val="000F0951"/>
    <w:rPr>
      <w:rFonts w:eastAsia="Calibri"/>
      <w:sz w:val="24"/>
      <w:szCs w:val="24"/>
    </w:rPr>
  </w:style>
  <w:style w:type="character" w:customStyle="1" w:styleId="style41">
    <w:name w:val="style41"/>
    <w:rsid w:val="00AF07EA"/>
    <w:rPr>
      <w:b/>
      <w:bCs/>
      <w:sz w:val="24"/>
      <w:szCs w:val="24"/>
    </w:rPr>
  </w:style>
  <w:style w:type="character" w:customStyle="1" w:styleId="a6">
    <w:name w:val="Без интервала Знак"/>
    <w:link w:val="a5"/>
    <w:uiPriority w:val="1"/>
    <w:rsid w:val="00E67815"/>
    <w:rPr>
      <w:rFonts w:ascii="Calibri" w:eastAsia="Calibri" w:hAnsi="Calibri"/>
      <w:sz w:val="22"/>
      <w:szCs w:val="22"/>
      <w:lang w:val="ru-RU" w:eastAsia="en-US" w:bidi="ar-SA"/>
    </w:rPr>
  </w:style>
  <w:style w:type="character" w:customStyle="1" w:styleId="text3">
    <w:name w:val="text3"/>
    <w:rsid w:val="00AD1589"/>
    <w:rPr>
      <w:rFonts w:ascii="Arial" w:hAnsi="Arial" w:cs="Arial" w:hint="default"/>
      <w:sz w:val="18"/>
      <w:szCs w:val="18"/>
    </w:rPr>
  </w:style>
  <w:style w:type="paragraph" w:styleId="af2">
    <w:name w:val="footnote text"/>
    <w:basedOn w:val="a"/>
    <w:semiHidden/>
    <w:rsid w:val="002F25E4"/>
    <w:rPr>
      <w:sz w:val="20"/>
      <w:szCs w:val="20"/>
    </w:rPr>
  </w:style>
  <w:style w:type="character" w:styleId="af3">
    <w:name w:val="footnote reference"/>
    <w:semiHidden/>
    <w:rsid w:val="002F25E4"/>
    <w:rPr>
      <w:vertAlign w:val="superscript"/>
    </w:rPr>
  </w:style>
  <w:style w:type="table" w:styleId="af4">
    <w:name w:val="Table Grid"/>
    <w:basedOn w:val="a1"/>
    <w:uiPriority w:val="59"/>
    <w:rsid w:val="003047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92E1D"/>
  </w:style>
  <w:style w:type="character" w:customStyle="1" w:styleId="FontStyle13">
    <w:name w:val="Font Style13"/>
    <w:rsid w:val="00280821"/>
    <w:rPr>
      <w:rFonts w:ascii="Times New Roman" w:hAnsi="Times New Roman" w:cs="Times New Roman"/>
      <w:sz w:val="22"/>
      <w:szCs w:val="22"/>
    </w:rPr>
  </w:style>
  <w:style w:type="paragraph" w:customStyle="1" w:styleId="ConsPlusCell">
    <w:name w:val="ConsPlusCell"/>
    <w:rsid w:val="00280821"/>
    <w:pPr>
      <w:widowControl w:val="0"/>
      <w:autoSpaceDE w:val="0"/>
      <w:autoSpaceDN w:val="0"/>
      <w:adjustRightInd w:val="0"/>
    </w:pPr>
    <w:rPr>
      <w:sz w:val="24"/>
      <w:szCs w:val="24"/>
    </w:rPr>
  </w:style>
  <w:style w:type="character" w:customStyle="1" w:styleId="af5">
    <w:name w:val="Заголовок сообщения (текст)"/>
    <w:rsid w:val="00280821"/>
    <w:rPr>
      <w:b/>
      <w:bCs w:val="0"/>
      <w:sz w:val="18"/>
    </w:rPr>
  </w:style>
  <w:style w:type="paragraph" w:customStyle="1" w:styleId="Textbody">
    <w:name w:val="Text body"/>
    <w:basedOn w:val="a"/>
    <w:rsid w:val="00822C35"/>
    <w:pPr>
      <w:widowControl w:val="0"/>
      <w:suppressAutoHyphens/>
      <w:autoSpaceDN w:val="0"/>
      <w:spacing w:after="120"/>
      <w:textAlignment w:val="baseline"/>
    </w:pPr>
    <w:rPr>
      <w:rFonts w:eastAsia="SimSun" w:cs="Mangal"/>
      <w:kern w:val="3"/>
      <w:lang w:eastAsia="zh-CN" w:bidi="hi-IN"/>
    </w:rPr>
  </w:style>
  <w:style w:type="character" w:styleId="af6">
    <w:name w:val="annotation reference"/>
    <w:rsid w:val="00E426E5"/>
    <w:rPr>
      <w:sz w:val="16"/>
      <w:szCs w:val="16"/>
    </w:rPr>
  </w:style>
  <w:style w:type="paragraph" w:styleId="af7">
    <w:name w:val="annotation text"/>
    <w:basedOn w:val="a"/>
    <w:link w:val="af8"/>
    <w:rsid w:val="00E426E5"/>
    <w:rPr>
      <w:sz w:val="20"/>
      <w:szCs w:val="20"/>
    </w:rPr>
  </w:style>
  <w:style w:type="character" w:customStyle="1" w:styleId="af8">
    <w:name w:val="Текст примечания Знак"/>
    <w:link w:val="af7"/>
    <w:rsid w:val="00E426E5"/>
    <w:rPr>
      <w:rFonts w:eastAsia="Calibri"/>
    </w:rPr>
  </w:style>
  <w:style w:type="paragraph" w:styleId="af9">
    <w:name w:val="annotation subject"/>
    <w:basedOn w:val="af7"/>
    <w:next w:val="af7"/>
    <w:link w:val="afa"/>
    <w:rsid w:val="00E426E5"/>
    <w:rPr>
      <w:b/>
      <w:bCs/>
    </w:rPr>
  </w:style>
  <w:style w:type="character" w:customStyle="1" w:styleId="afa">
    <w:name w:val="Тема примечания Знак"/>
    <w:link w:val="af9"/>
    <w:rsid w:val="00E426E5"/>
    <w:rPr>
      <w:rFonts w:eastAsia="Calibri"/>
      <w:b/>
      <w:bCs/>
    </w:rPr>
  </w:style>
  <w:style w:type="paragraph" w:styleId="afb">
    <w:name w:val="Balloon Text"/>
    <w:basedOn w:val="a"/>
    <w:link w:val="afc"/>
    <w:rsid w:val="00E426E5"/>
    <w:rPr>
      <w:rFonts w:ascii="Segoe UI" w:hAnsi="Segoe UI" w:cs="Segoe UI"/>
      <w:sz w:val="18"/>
      <w:szCs w:val="18"/>
    </w:rPr>
  </w:style>
  <w:style w:type="character" w:customStyle="1" w:styleId="afc">
    <w:name w:val="Текст выноски Знак"/>
    <w:link w:val="afb"/>
    <w:rsid w:val="00E426E5"/>
    <w:rPr>
      <w:rFonts w:ascii="Segoe UI" w:eastAsia="Calibri" w:hAnsi="Segoe UI" w:cs="Segoe UI"/>
      <w:sz w:val="18"/>
      <w:szCs w:val="18"/>
    </w:rPr>
  </w:style>
  <w:style w:type="paragraph" w:customStyle="1" w:styleId="afd">
    <w:name w:val="Документ"/>
    <w:basedOn w:val="a"/>
    <w:qFormat/>
    <w:rsid w:val="001F013D"/>
    <w:pPr>
      <w:jc w:val="both"/>
    </w:pPr>
    <w:rPr>
      <w:rFonts w:ascii="Arial" w:hAnsi="Arial" w:cs="Arial"/>
      <w:lang w:eastAsia="en-US"/>
    </w:rPr>
  </w:style>
  <w:style w:type="paragraph" w:styleId="afe">
    <w:name w:val="Revision"/>
    <w:hidden/>
    <w:uiPriority w:val="99"/>
    <w:semiHidden/>
    <w:rsid w:val="00C737DB"/>
    <w:rPr>
      <w:rFonts w:eastAsia="Calibri"/>
      <w:sz w:val="24"/>
      <w:szCs w:val="24"/>
    </w:rPr>
  </w:style>
  <w:style w:type="character" w:styleId="aff">
    <w:name w:val="Emphasis"/>
    <w:uiPriority w:val="20"/>
    <w:qFormat/>
    <w:rsid w:val="00B06B26"/>
    <w:rPr>
      <w:i/>
      <w:iCs/>
    </w:rPr>
  </w:style>
  <w:style w:type="character" w:customStyle="1" w:styleId="aa">
    <w:name w:val="Абзац списка Знак"/>
    <w:aliases w:val="Варианты ответов Знак,Абзац списка для документа Знак,ПС - Нумерованный Знак"/>
    <w:link w:val="a9"/>
    <w:uiPriority w:val="99"/>
    <w:rsid w:val="00D65C60"/>
    <w:rPr>
      <w:rFonts w:ascii="Calibri" w:hAnsi="Calibri"/>
      <w:sz w:val="22"/>
      <w:szCs w:val="22"/>
    </w:rPr>
  </w:style>
  <w:style w:type="character" w:customStyle="1" w:styleId="10">
    <w:name w:val="1.Текст Знак"/>
    <w:link w:val="1"/>
    <w:rsid w:val="00D65C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34">
      <w:bodyDiv w:val="1"/>
      <w:marLeft w:val="0"/>
      <w:marRight w:val="0"/>
      <w:marTop w:val="0"/>
      <w:marBottom w:val="0"/>
      <w:divBdr>
        <w:top w:val="none" w:sz="0" w:space="0" w:color="auto"/>
        <w:left w:val="none" w:sz="0" w:space="0" w:color="auto"/>
        <w:bottom w:val="none" w:sz="0" w:space="0" w:color="auto"/>
        <w:right w:val="none" w:sz="0" w:space="0" w:color="auto"/>
      </w:divBdr>
    </w:div>
    <w:div w:id="387731615">
      <w:bodyDiv w:val="1"/>
      <w:marLeft w:val="0"/>
      <w:marRight w:val="0"/>
      <w:marTop w:val="0"/>
      <w:marBottom w:val="0"/>
      <w:divBdr>
        <w:top w:val="none" w:sz="0" w:space="0" w:color="auto"/>
        <w:left w:val="none" w:sz="0" w:space="0" w:color="auto"/>
        <w:bottom w:val="none" w:sz="0" w:space="0" w:color="auto"/>
        <w:right w:val="none" w:sz="0" w:space="0" w:color="auto"/>
      </w:divBdr>
    </w:div>
    <w:div w:id="513037315">
      <w:bodyDiv w:val="1"/>
      <w:marLeft w:val="0"/>
      <w:marRight w:val="0"/>
      <w:marTop w:val="0"/>
      <w:marBottom w:val="0"/>
      <w:divBdr>
        <w:top w:val="none" w:sz="0" w:space="0" w:color="auto"/>
        <w:left w:val="none" w:sz="0" w:space="0" w:color="auto"/>
        <w:bottom w:val="none" w:sz="0" w:space="0" w:color="auto"/>
        <w:right w:val="none" w:sz="0" w:space="0" w:color="auto"/>
      </w:divBdr>
    </w:div>
    <w:div w:id="735322524">
      <w:bodyDiv w:val="1"/>
      <w:marLeft w:val="0"/>
      <w:marRight w:val="0"/>
      <w:marTop w:val="0"/>
      <w:marBottom w:val="0"/>
      <w:divBdr>
        <w:top w:val="none" w:sz="0" w:space="0" w:color="auto"/>
        <w:left w:val="none" w:sz="0" w:space="0" w:color="auto"/>
        <w:bottom w:val="none" w:sz="0" w:space="0" w:color="auto"/>
        <w:right w:val="none" w:sz="0" w:space="0" w:color="auto"/>
      </w:divBdr>
    </w:div>
    <w:div w:id="1604535734">
      <w:bodyDiv w:val="1"/>
      <w:marLeft w:val="0"/>
      <w:marRight w:val="0"/>
      <w:marTop w:val="0"/>
      <w:marBottom w:val="0"/>
      <w:divBdr>
        <w:top w:val="none" w:sz="0" w:space="0" w:color="auto"/>
        <w:left w:val="none" w:sz="0" w:space="0" w:color="auto"/>
        <w:bottom w:val="none" w:sz="0" w:space="0" w:color="auto"/>
        <w:right w:val="none" w:sz="0" w:space="0" w:color="auto"/>
      </w:divBdr>
    </w:div>
    <w:div w:id="1832938887">
      <w:bodyDiv w:val="1"/>
      <w:marLeft w:val="0"/>
      <w:marRight w:val="0"/>
      <w:marTop w:val="0"/>
      <w:marBottom w:val="0"/>
      <w:divBdr>
        <w:top w:val="none" w:sz="0" w:space="0" w:color="auto"/>
        <w:left w:val="none" w:sz="0" w:space="0" w:color="auto"/>
        <w:bottom w:val="none" w:sz="0" w:space="0" w:color="auto"/>
        <w:right w:val="none" w:sz="0" w:space="0" w:color="auto"/>
      </w:divBdr>
    </w:div>
    <w:div w:id="2049335997">
      <w:bodyDiv w:val="1"/>
      <w:marLeft w:val="0"/>
      <w:marRight w:val="0"/>
      <w:marTop w:val="0"/>
      <w:marBottom w:val="0"/>
      <w:divBdr>
        <w:top w:val="none" w:sz="0" w:space="0" w:color="auto"/>
        <w:left w:val="none" w:sz="0" w:space="0" w:color="auto"/>
        <w:bottom w:val="none" w:sz="0" w:space="0" w:color="auto"/>
        <w:right w:val="none" w:sz="0" w:space="0" w:color="auto"/>
      </w:divBdr>
    </w:div>
    <w:div w:id="20988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B69D-AFE3-49D8-868A-80ED0E14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12705</Words>
  <Characters>72423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Текстовая часть доклада «Показатели эффективности деятельности органов местного самоуправления городского округа «Сыктывкар»</vt:lpstr>
    </vt:vector>
  </TitlesOfParts>
  <Company>Администрация МО ГО "Сыктывкар"</Company>
  <LinksUpToDate>false</LinksUpToDate>
  <CharactersWithSpaces>84959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Текстовая часть доклада «Показатели эффективности деятельности органов местного самоуправления городского округа «Сыктывкар»</dc:title>
  <dc:creator>Малышева</dc:creator>
  <cp:lastModifiedBy>Антоновская Наталья Ивановна</cp:lastModifiedBy>
  <cp:revision>3</cp:revision>
  <cp:lastPrinted>2023-04-28T08:47:00Z</cp:lastPrinted>
  <dcterms:created xsi:type="dcterms:W3CDTF">2024-02-13T07:50:00Z</dcterms:created>
  <dcterms:modified xsi:type="dcterms:W3CDTF">2024-02-13T07:50:00Z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38889</vt:lpwstr>
  </property>
</Properties>
</file>