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21" w:rsidRPr="00565121" w:rsidRDefault="00565121" w:rsidP="00565121">
      <w:pPr>
        <w:tabs>
          <w:tab w:val="center" w:pos="4677"/>
          <w:tab w:val="right" w:pos="9355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121" w:rsidRPr="00F65D3C" w:rsidRDefault="00F65D3C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D3C">
        <w:rPr>
          <w:rFonts w:ascii="Times New Roman" w:hAnsi="Times New Roman" w:cs="Times New Roman"/>
          <w:bCs/>
          <w:sz w:val="24"/>
          <w:szCs w:val="24"/>
          <w:lang w:eastAsia="ru-RU"/>
        </w:rPr>
        <w:t>СТАНДАРТ ВНЕШНЕГО МУНИЦИПАЛЬНОГО ФИНАНСОВОГО КОНТРОЛЯ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38A6" w:rsidRPr="00F65D3C">
        <w:rPr>
          <w:rFonts w:ascii="Times New Roman" w:hAnsi="Times New Roman" w:cs="Times New Roman"/>
          <w:sz w:val="24"/>
          <w:szCs w:val="24"/>
          <w:lang w:eastAsia="ru-RU"/>
        </w:rPr>
        <w:t>ОСУЩЕСТВЛЕНИЕ АУДИТА В СФЕРЕ ЗАКУПОК</w:t>
      </w: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8A6" w:rsidRPr="00565121" w:rsidRDefault="007138A6" w:rsidP="007138A6">
      <w:pPr>
        <w:tabs>
          <w:tab w:val="left" w:pos="12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УТВЕРЖДАЮ</w:t>
      </w:r>
    </w:p>
    <w:p w:rsidR="00F65D3C" w:rsidRPr="00F65D3C" w:rsidRDefault="00F65D3C" w:rsidP="00F65D3C">
      <w:pPr>
        <w:widowControl w:val="0"/>
        <w:tabs>
          <w:tab w:val="left" w:pos="4678"/>
        </w:tabs>
        <w:suppressAutoHyphens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председатель Контрольно-счетной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палаты МО ГО "Сыктывкар"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left="5670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_______________ </w:t>
      </w:r>
      <w:proofErr w:type="spellStart"/>
      <w:r w:rsidRPr="00F65D3C">
        <w:rPr>
          <w:rFonts w:ascii="Times New Roman" w:hAnsi="Times New Roman" w:cs="Times New Roman"/>
          <w:bCs/>
          <w:sz w:val="24"/>
          <w:szCs w:val="28"/>
          <w:lang w:eastAsia="ru-RU"/>
        </w:rPr>
        <w:t>А.С</w:t>
      </w:r>
      <w:proofErr w:type="spellEnd"/>
      <w:r w:rsidRPr="00F65D3C">
        <w:rPr>
          <w:rFonts w:ascii="Times New Roman" w:hAnsi="Times New Roman" w:cs="Times New Roman"/>
          <w:bCs/>
          <w:sz w:val="24"/>
          <w:szCs w:val="28"/>
          <w:lang w:eastAsia="ru-RU"/>
        </w:rPr>
        <w:t>. Темкин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left="5670"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"_____"________________ 20____г.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left="5670"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№ ____________________</w:t>
      </w:r>
    </w:p>
    <w:p w:rsidR="00F65D3C" w:rsidRPr="00F65D3C" w:rsidRDefault="00F65D3C" w:rsidP="00F65D3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52D" w:rsidRPr="00565121" w:rsidRDefault="0051252D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565121" w:rsidRDefault="00565121" w:rsidP="0056512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121" w:rsidRPr="00F65D3C" w:rsidRDefault="00565121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F65D3C">
        <w:rPr>
          <w:rFonts w:ascii="Times New Roman" w:hAnsi="Times New Roman" w:cs="Times New Roman"/>
          <w:sz w:val="24"/>
          <w:szCs w:val="28"/>
          <w:lang w:eastAsia="ru-RU"/>
        </w:rPr>
        <w:t>20</w:t>
      </w:r>
      <w:r w:rsidR="00F65D3C" w:rsidRPr="00F65D3C">
        <w:rPr>
          <w:rFonts w:ascii="Times New Roman" w:hAnsi="Times New Roman" w:cs="Times New Roman"/>
          <w:sz w:val="24"/>
          <w:szCs w:val="28"/>
          <w:lang w:eastAsia="ru-RU"/>
        </w:rPr>
        <w:t>24</w:t>
      </w:r>
      <w:r w:rsidRPr="00F65D3C">
        <w:rPr>
          <w:rFonts w:ascii="Times New Roman" w:hAnsi="Times New Roman" w:cs="Times New Roman"/>
          <w:sz w:val="24"/>
          <w:szCs w:val="28"/>
          <w:lang w:eastAsia="ru-RU"/>
        </w:rPr>
        <w:t xml:space="preserve"> год</w:t>
      </w:r>
    </w:p>
    <w:p w:rsidR="0051252D" w:rsidRPr="00565121" w:rsidRDefault="0051252D" w:rsidP="0056512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811"/>
        <w:gridCol w:w="1365"/>
      </w:tblGrid>
      <w:tr w:rsidR="009B65C1" w:rsidRPr="004135B4" w:rsidTr="00DA6E0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bottom"/>
          </w:tcPr>
          <w:p w:rsidR="0051252D" w:rsidRPr="004135B4" w:rsidRDefault="00565121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 w:type="page"/>
            </w:r>
            <w:r w:rsidR="0051252D"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51252D" w:rsidRPr="004135B4" w:rsidRDefault="009D2B99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51252D"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траница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9B65C1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7138A6" w:rsidP="00DA6E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Содержание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2C0947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7138A6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Источники информации для проведения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2C0947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51252D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4135B4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Проведение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4135B4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9B65C1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51252D" w:rsidRPr="004135B4" w:rsidRDefault="009B65C1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1252D" w:rsidRPr="004135B4" w:rsidRDefault="004135B4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Контроль реализации результатов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1252D" w:rsidRPr="004135B4" w:rsidRDefault="004135B4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135B4" w:rsidRPr="004135B4" w:rsidTr="009B65C1">
        <w:trPr>
          <w:trHeight w:val="31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4135B4" w:rsidRPr="004135B4" w:rsidRDefault="004135B4" w:rsidP="00DA6E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135B4" w:rsidRPr="004135B4" w:rsidRDefault="004135B4" w:rsidP="00DA6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35B4">
              <w:rPr>
                <w:rFonts w:ascii="Times New Roman" w:hAnsi="Times New Roman" w:cs="Times New Roman"/>
                <w:sz w:val="24"/>
                <w:szCs w:val="28"/>
              </w:rPr>
              <w:t>Управление качеством аудита в сфере закупок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135B4" w:rsidRPr="004135B4" w:rsidRDefault="004135B4" w:rsidP="009B65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9B65C1" w:rsidRDefault="009B65C1">
      <w:pPr>
        <w:pStyle w:val="aa"/>
        <w:spacing w:before="280" w:after="280"/>
        <w:ind w:firstLine="1701"/>
        <w:jc w:val="center"/>
        <w:rPr>
          <w:sz w:val="29"/>
          <w:szCs w:val="29"/>
        </w:rPr>
      </w:pPr>
    </w:p>
    <w:p w:rsidR="009B65C1" w:rsidRDefault="009B65C1">
      <w:pPr>
        <w:suppressAutoHyphens w:val="0"/>
        <w:spacing w:after="0" w:line="240" w:lineRule="auto"/>
        <w:rPr>
          <w:rFonts w:ascii="Times New Roman" w:eastAsia="Arial" w:hAnsi="Times New Roman"/>
          <w:sz w:val="29"/>
          <w:szCs w:val="29"/>
        </w:rPr>
      </w:pPr>
      <w:r>
        <w:rPr>
          <w:sz w:val="29"/>
          <w:szCs w:val="29"/>
        </w:rPr>
        <w:br w:type="page"/>
      </w:r>
    </w:p>
    <w:p w:rsidR="00F65D3C" w:rsidRPr="00F65D3C" w:rsidRDefault="00F65D3C" w:rsidP="00016D49">
      <w:pPr>
        <w:numPr>
          <w:ilvl w:val="0"/>
          <w:numId w:val="5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D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положения</w:t>
      </w:r>
    </w:p>
    <w:p w:rsidR="00F65D3C" w:rsidRPr="00F65D3C" w:rsidRDefault="00F65D3C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5D3C">
        <w:rPr>
          <w:rFonts w:ascii="Times New Roman" w:hAnsi="Times New Roman" w:cs="Times New Roman"/>
          <w:sz w:val="24"/>
          <w:szCs w:val="24"/>
        </w:rPr>
        <w:t>Стандарт внешнего муниципального финансового контроля "</w:t>
      </w:r>
      <w:r>
        <w:rPr>
          <w:rFonts w:ascii="Times New Roman" w:hAnsi="Times New Roman" w:cs="Times New Roman"/>
          <w:sz w:val="24"/>
          <w:szCs w:val="24"/>
        </w:rPr>
        <w:t>Аудит</w:t>
      </w:r>
      <w:r w:rsidRPr="00F65D3C">
        <w:rPr>
          <w:rFonts w:ascii="Times New Roman" w:hAnsi="Times New Roman" w:cs="Times New Roman"/>
          <w:sz w:val="24"/>
          <w:szCs w:val="24"/>
        </w:rPr>
        <w:t xml:space="preserve"> в сфере закупок" (далее – Стандарт) разработан </w:t>
      </w:r>
      <w:r w:rsidRPr="00F65D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закон),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F65D3C" w:rsidRPr="00F65D3C" w:rsidRDefault="00F65D3C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Стандарт – внутренний нормативный документ </w:t>
      </w:r>
      <w:r w:rsidRPr="00F65D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Контрольно-счетной палаты муниципального образования городского округа "Сыктывкар" (далее – </w:t>
      </w:r>
      <w:r w:rsidRPr="00F65D3C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Pr="00F65D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определяющий требования, правила и процедуры осуществления деятельности </w:t>
      </w:r>
      <w:r w:rsidRPr="00F65D3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проведению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аудита в сфере закупок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65D3C" w:rsidRPr="00F65D3C" w:rsidRDefault="00F65D3C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Стандарта является установление общих правил и процедур проведения </w:t>
      </w:r>
      <w:r w:rsidRPr="00F65D3C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аудита в сфере закупок (далее – аудит)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65D3C" w:rsidRPr="00F65D3C" w:rsidRDefault="00F65D3C" w:rsidP="00F65D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Задачами Стандарта являются определение порядка организации и проведения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аудита;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порядка оформления результатов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аудита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F65D3C" w:rsidRDefault="0046617D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понятия, используемые в настоящем Стандарте, соответствуют понятиям, установленным Федеральн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05.04.2013 № 44-ФЗ </w:t>
      </w:r>
      <w:r w:rsidR="00C05370"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05370"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Закон </w:t>
      </w:r>
      <w:proofErr w:type="gramStart"/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№  44</w:t>
      </w:r>
      <w:proofErr w:type="gramEnd"/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-ФЗ).</w:t>
      </w:r>
    </w:p>
    <w:p w:rsidR="0046617D" w:rsidRPr="00F65D3C" w:rsidRDefault="0046617D" w:rsidP="00F65D3C">
      <w:pPr>
        <w:numPr>
          <w:ilvl w:val="0"/>
          <w:numId w:val="5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D3C">
        <w:rPr>
          <w:rFonts w:ascii="Times New Roman" w:eastAsia="Calibri" w:hAnsi="Times New Roman" w:cs="Times New Roman"/>
          <w:b/>
          <w:sz w:val="24"/>
          <w:szCs w:val="24"/>
        </w:rPr>
        <w:t>Содержание аудита в сфере закупок</w:t>
      </w:r>
    </w:p>
    <w:p w:rsidR="0046617D" w:rsidRPr="00F65D3C" w:rsidRDefault="0046617D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Аудит в сфере закупок – вид внешнего муниципального контроля, осуществляемого </w:t>
      </w:r>
      <w:r w:rsidR="00C05370"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Контрольно-счетной палатой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установленными полномочиями</w:t>
      </w: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F65D3C" w:rsidRDefault="0046617D" w:rsidP="00F65D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Итогом аудита в сфере закупок должна стать оценка уровня обеспечения муниципальных нужд с учетом затрат бюджетных средств, обоснованности планирования закупок, включая обоснованность цены закупки, результативности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46617D" w:rsidRPr="00F65D3C" w:rsidRDefault="0046617D" w:rsidP="00F65D3C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аудита в сфере закупок:</w:t>
      </w:r>
    </w:p>
    <w:p w:rsidR="0046617D" w:rsidRPr="00F65D3C" w:rsidRDefault="0046617D" w:rsidP="00F65D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D3C">
        <w:rPr>
          <w:rFonts w:ascii="Times New Roman" w:eastAsia="Calibri" w:hAnsi="Times New Roman" w:cs="Times New Roman"/>
          <w:sz w:val="24"/>
          <w:szCs w:val="24"/>
          <w:lang w:eastAsia="en-US"/>
        </w:rPr>
        <w:t>- проверка,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- 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системы.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Аудит в сфере закупок должен охватывать все этапы деятельности заказчика в сфере закупок, в том числе: этап планирования закупок товаров (работ, услуг), этап определения поставщика, этап заключения и исполнения контракта.</w:t>
      </w:r>
    </w:p>
    <w:p w:rsidR="0046617D" w:rsidRPr="00016D49" w:rsidRDefault="0046617D" w:rsidP="00016D49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Предметом аудита в сфере закупок является процесс расходования средств бюджета муниципального образования, направляемых на закупки (далее – бюджетные средства) в соответствии с требованиями законодательства о контрактной системе в сфере закупок. </w:t>
      </w:r>
    </w:p>
    <w:p w:rsidR="0046617D" w:rsidRPr="00016D49" w:rsidRDefault="0046617D" w:rsidP="00016D49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проведения аудита в сфере закупок проверяются, анализируются и оцениваются:</w:t>
      </w:r>
    </w:p>
    <w:p w:rsidR="0046617D" w:rsidRPr="00016D49" w:rsidRDefault="00B33E5E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и процесс планирования закупок;</w:t>
      </w:r>
    </w:p>
    <w:p w:rsidR="0046617D" w:rsidRPr="00016D49" w:rsidRDefault="00B33E5E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законность, своевременность, обоснованность, целесообразность расходов на закупки, эффективность и результаты использования бюджетных средств;</w:t>
      </w:r>
    </w:p>
    <w:p w:rsidR="0046617D" w:rsidRPr="00016D49" w:rsidRDefault="00B33E5E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ведомственного контроля в сфере закупок;</w:t>
      </w:r>
    </w:p>
    <w:p w:rsidR="0046617D" w:rsidRPr="00016D49" w:rsidRDefault="00B33E5E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 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контроля в сфере закупок, осуществляемого заказчиком.</w:t>
      </w:r>
    </w:p>
    <w:p w:rsidR="0046617D" w:rsidRPr="00016D49" w:rsidRDefault="0046617D" w:rsidP="00016D49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аудита (контроля) в сфере закупок являются заказчики, на которых распространяются контрольные полномочия контрольно-счетного органа муниципального образования.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организаций, а также работа системы ведомственного контроля в сфере закупок, системы контроля в сфере закупок, осуществляемого заказчиком.</w:t>
      </w:r>
    </w:p>
    <w:p w:rsidR="0046617D" w:rsidRPr="00016D49" w:rsidRDefault="0046617D" w:rsidP="00016D49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Аудит в сфере закупок </w:t>
      </w:r>
      <w:r w:rsidR="00664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проводится на основании Плана работы Контрольно-счетной палаты и 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может быть осуществлен путем проведения контрольного или экспертно-аналитического мероприятия, а также отдельным вопросом мероприятия. </w:t>
      </w:r>
    </w:p>
    <w:p w:rsidR="0046617D" w:rsidRPr="00016D49" w:rsidRDefault="0046617D" w:rsidP="00016D49">
      <w:pPr>
        <w:numPr>
          <w:ilvl w:val="0"/>
          <w:numId w:val="5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D49">
        <w:rPr>
          <w:rFonts w:ascii="Times New Roman" w:eastAsia="Calibri" w:hAnsi="Times New Roman" w:cs="Times New Roman"/>
          <w:b/>
          <w:sz w:val="24"/>
          <w:szCs w:val="24"/>
        </w:rPr>
        <w:t>Источники информации для проведения аудита в сфере закупок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При проведении аудита в сфере закупок рекомендуется использовать следующие источники информации: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1) законодательство о контрактной системе, включая Закон № 44-ФЗ и иные нормативные правовые акты о контрактной системе в сфере закупок;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2) нормативные документы, содержащие требования к отдель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ным видам товаров, работ, услуг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 внутренние документы заказчика.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4) единая информационная система в сфере закупок</w:t>
      </w:r>
      <w:bookmarkStart w:id="0" w:name="Par84"/>
      <w:bookmarkEnd w:id="0"/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 электронные площадки и 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информация, размещаемая на них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 официальные сайты заказчиков 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и информация, размещаемая на них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6617D" w:rsidRPr="00016D49" w:rsidRDefault="00016D49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данные статистического наблюдения; </w:t>
      </w:r>
    </w:p>
    <w:p w:rsidR="0046617D" w:rsidRPr="00016D49" w:rsidRDefault="00016D49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) документы, подтверждающие поставку товаров, выполнение работ, оказание услуг;</w:t>
      </w:r>
    </w:p>
    <w:p w:rsidR="0046617D" w:rsidRPr="00016D49" w:rsidRDefault="00016D49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результаты </w:t>
      </w:r>
      <w:proofErr w:type="gramStart"/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предыдущих проверок</w:t>
      </w:r>
      <w:proofErr w:type="gramEnd"/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соответствующих контрольных и надзорных органов;</w:t>
      </w:r>
    </w:p>
    <w:p w:rsidR="0046617D" w:rsidRPr="00016D49" w:rsidRDefault="00016D49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10) иная информация</w:t>
      </w:r>
      <w:r w:rsidR="0046617D"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016D49" w:rsidRDefault="0046617D" w:rsidP="00016D4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В ходе проведения мероприятия могут использоваться одновременно несколько источников информации, имеющих непосредственное отноше</w:t>
      </w:r>
      <w:r w:rsidR="00016D49">
        <w:rPr>
          <w:rFonts w:ascii="Times New Roman" w:eastAsia="Calibri" w:hAnsi="Times New Roman" w:cs="Times New Roman"/>
          <w:sz w:val="24"/>
          <w:szCs w:val="24"/>
          <w:lang w:eastAsia="en-US"/>
        </w:rPr>
        <w:t>ние к предмету и объекту аудита</w:t>
      </w:r>
      <w:r w:rsidRPr="00016D4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016D49" w:rsidRDefault="00120448" w:rsidP="00016D49">
      <w:pPr>
        <w:numPr>
          <w:ilvl w:val="0"/>
          <w:numId w:val="5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6617D" w:rsidRPr="00016D49">
        <w:rPr>
          <w:rFonts w:ascii="Times New Roman" w:eastAsia="Calibri" w:hAnsi="Times New Roman" w:cs="Times New Roman"/>
          <w:b/>
          <w:sz w:val="24"/>
          <w:szCs w:val="24"/>
        </w:rPr>
        <w:t>роведени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46617D" w:rsidRPr="00016D49">
        <w:rPr>
          <w:rFonts w:ascii="Times New Roman" w:eastAsia="Calibri" w:hAnsi="Times New Roman" w:cs="Times New Roman"/>
          <w:b/>
          <w:sz w:val="24"/>
          <w:szCs w:val="24"/>
        </w:rPr>
        <w:t xml:space="preserve"> аудита в сфере закупок</w:t>
      </w:r>
    </w:p>
    <w:p w:rsidR="0046617D" w:rsidRPr="00120448" w:rsidRDefault="0046617D" w:rsidP="00120448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Аудит в сфере закупок включает в себя три этапа:</w:t>
      </w:r>
    </w:p>
    <w:p w:rsidR="0046617D" w:rsidRPr="00120448" w:rsidRDefault="00B33E5E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617D"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подготовительный этап;</w:t>
      </w:r>
    </w:p>
    <w:p w:rsidR="0046617D" w:rsidRPr="00120448" w:rsidRDefault="00B33E5E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617D"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основной этап;</w:t>
      </w:r>
    </w:p>
    <w:p w:rsidR="0046617D" w:rsidRPr="00120448" w:rsidRDefault="00B33E5E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617D"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заключительный этап.</w:t>
      </w:r>
    </w:p>
    <w:p w:rsidR="0046617D" w:rsidRPr="00120448" w:rsidRDefault="0046617D" w:rsidP="00120448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На подготовительном этапе осуществляется предварительное изуч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ение предмета и объектов аудита</w:t>
      </w: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, анализ их специфики, сбор необходимых данных и информации.</w:t>
      </w:r>
    </w:p>
    <w:p w:rsidR="0046617D" w:rsidRPr="00120448" w:rsidRDefault="0046617D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При осуществлении анализа специфики предмета и объекта аудита рекомендуется выявить и проанализировать существующие риски неэффективного использования бюджетных средств.</w:t>
      </w:r>
    </w:p>
    <w:p w:rsidR="0046617D" w:rsidRPr="00120448" w:rsidRDefault="0046617D" w:rsidP="0012044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Сбор данных и информации на подготовительном этапе рекомендуется осуществлять путем анализа и оценки информации о закупках объектов аудита в открытых информационных системах, а также изучения документов и материалов, имею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щих отношение к предмету аудита</w:t>
      </w: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, и</w:t>
      </w:r>
      <w:r w:rsidR="00120448">
        <w:rPr>
          <w:rFonts w:ascii="Times New Roman" w:eastAsia="Calibri" w:hAnsi="Times New Roman" w:cs="Times New Roman"/>
          <w:sz w:val="24"/>
          <w:szCs w:val="24"/>
          <w:lang w:eastAsia="en-US"/>
        </w:rPr>
        <w:t>з других открытых источников</w:t>
      </w: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120448" w:rsidRDefault="0046617D" w:rsidP="00120448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основном этапе аудита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</w:t>
      </w:r>
      <w:r w:rsidR="00977D5D">
        <w:rPr>
          <w:rFonts w:ascii="Times New Roman" w:eastAsia="Calibri" w:hAnsi="Times New Roman" w:cs="Times New Roman"/>
          <w:sz w:val="24"/>
          <w:szCs w:val="24"/>
          <w:lang w:eastAsia="en-US"/>
        </w:rPr>
        <w:t>ченным и исполненным контрактам</w:t>
      </w:r>
      <w:r w:rsidRPr="0012044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6617D" w:rsidRPr="00977D5D" w:rsidRDefault="00977D5D" w:rsidP="00977D5D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нформаци</w:t>
      </w:r>
      <w:r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структурируется 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46617D" w:rsidRPr="00977D5D" w:rsidRDefault="0046617D" w:rsidP="00977D5D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аудита закупок оформляются в </w:t>
      </w:r>
      <w:r w:rsidR="00977D5D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соответствующих итоговых документах контрольных или экспертно-аналитических мероприятий</w:t>
      </w:r>
      <w:r w:rsidR="007138A6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135B4" w:rsidRDefault="004135B4" w:rsidP="004135B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Структура итоговых документов содержит информацию о фактах 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выявления отклонений, нарушений и недостатков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</w:t>
      </w:r>
      <w:r w:rsidR="0046617D" w:rsidRPr="00977D5D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(рекомендации), направленные на их устранение и на совершенствование деятельно</w:t>
      </w:r>
      <w:r w:rsidR="00977D5D">
        <w:rPr>
          <w:rFonts w:ascii="Times New Roman" w:eastAsia="Calibri" w:hAnsi="Times New Roman" w:cs="Times New Roman"/>
          <w:sz w:val="24"/>
          <w:szCs w:val="24"/>
          <w:lang w:eastAsia="en-US"/>
        </w:rPr>
        <w:t>сти объекта аудита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135B4" w:rsidRPr="004135B4" w:rsidRDefault="004135B4" w:rsidP="004135B4">
      <w:pPr>
        <w:numPr>
          <w:ilvl w:val="0"/>
          <w:numId w:val="5"/>
        </w:numPr>
        <w:suppressAutoHyphens w:val="0"/>
        <w:spacing w:before="120" w:after="12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135B4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Контроль реализации результатов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аудита</w:t>
      </w:r>
      <w:r w:rsidRPr="004135B4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в сфере закупок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>Контроль реализации результатов мероприятий осуществляется в ходе последующего проведения Контрольно-счетной палатой контрольных и экспертно-аналитических мероприятий.</w:t>
      </w:r>
    </w:p>
    <w:p w:rsidR="004135B4" w:rsidRPr="004135B4" w:rsidRDefault="004135B4" w:rsidP="004135B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>Контроль реализации результатов проведенных мероприятий (выводов и предложений) осуществляется посредством мониторинга и анализа информации о решениях и мерах, принятых по итогам рассмотрения документов Контрольно-счетной палаты, мониторинга и анализа изменений нормативных правовых актов, внесенных на основании предложений Контрольно-счетной палаты.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88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>Контроль реализации (исполнения) представлений (предписаний) Контрольно-счетной палаты включает в себя постановку на контроль, анализ результатов их реализации, принятие соответствующих решений в случаях неисполнения (ненадлежащего исполнения), снятие с контроля.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Текущий</w:t>
      </w:r>
      <w:r w:rsidRPr="004135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соблюдения определенных сроков рассмотрения представлений (предписаний) и информирования Контрольно-счетной палаты о принятых решениях и мерах по их реализации; 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4135B4" w:rsidRPr="004135B4" w:rsidRDefault="004135B4" w:rsidP="004135B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B4">
        <w:rPr>
          <w:rFonts w:ascii="Times New Roman" w:hAnsi="Times New Roman" w:cs="Times New Roman"/>
          <w:sz w:val="24"/>
          <w:szCs w:val="24"/>
        </w:rPr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</w:rPr>
        <w:t xml:space="preserve">Анализ информации по результатам рассмотрения уведомлений о применении бюджетных мер принуждения и исполнением решений об их применении, 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>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35B4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составления в рамках мероприятия протокола об административном правонарушении, осуществляется контроль, мониторинг и анализ информации о результатах рассмотрения дел об административных правонарушениях и принятых по ним решениях.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</w:rPr>
        <w:t>Итоги контроля реализации результатов проведенных мероприятий используются при планировании работы Контрольно-счетной палаты и разработке мероприятий по совершенствованию контрольной и экспертно-аналитической деятельности.</w:t>
      </w:r>
    </w:p>
    <w:p w:rsidR="004135B4" w:rsidRPr="004135B4" w:rsidRDefault="004135B4" w:rsidP="004135B4">
      <w:pPr>
        <w:numPr>
          <w:ilvl w:val="0"/>
          <w:numId w:val="5"/>
        </w:numPr>
        <w:suppressAutoHyphens w:val="0"/>
        <w:spacing w:before="120" w:after="12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135B4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Управление качеством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аудита в сфере закупок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Управление качеством мероприятий организуют председатель Контрольно-счетной палаты и аудитор. 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Мероприятие считается проведенным качественно, если:</w:t>
      </w:r>
    </w:p>
    <w:p w:rsidR="004135B4" w:rsidRPr="004135B4" w:rsidRDefault="004135B4" w:rsidP="00413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раскрыты цели мероприятия и даны исчерпывающие ответы на поставленные вопросы;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содержание и выводы заключения о результатах мероприятия соответствуют законодательным и иным нормативным правовым актам Российской Федерации; </w:t>
      </w:r>
    </w:p>
    <w:p w:rsidR="004135B4" w:rsidRPr="004135B4" w:rsidRDefault="004135B4" w:rsidP="004135B4">
      <w:pPr>
        <w:tabs>
          <w:tab w:val="left" w:pos="1134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в зависимости от целей </w:t>
      </w:r>
      <w:proofErr w:type="gramStart"/>
      <w:r w:rsidRPr="004135B4">
        <w:rPr>
          <w:rFonts w:ascii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изложенные в документах Контрольно-счетной палаты предложения (рекомендации) направлены на устранение причин выявленных нарушений и недостатков, </w:t>
      </w:r>
      <w:r w:rsidRPr="00413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проявлениям. 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4135B4">
        <w:rPr>
          <w:rFonts w:ascii="Times New Roman" w:hAnsi="Times New Roman" w:cs="Times New Roman"/>
          <w:i/>
          <w:sz w:val="24"/>
          <w:szCs w:val="24"/>
          <w:lang w:eastAsia="ru-RU"/>
        </w:rPr>
        <w:t>подготовительном этапе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 по результатам предварительного изучения предмета и объектов мероприятия </w:t>
      </w:r>
      <w:r w:rsidRPr="004135B4">
        <w:rPr>
          <w:rFonts w:ascii="Times New Roman" w:hAnsi="Times New Roman" w:cs="Times New Roman"/>
          <w:sz w:val="24"/>
          <w:szCs w:val="24"/>
        </w:rPr>
        <w:t>председатель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, при необходимости, проводит с участниками мероприятия совещание, на котором: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проверяется их знание предмета и объектов мероприятия;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выясняется понимание участниками мероприятия заданий и обязанностей, которые им надлежит выполнять;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обсуждаются вопросы мероприятия, методы сбора, оценки и анализа информации и фактических данных;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 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На этапе </w:t>
      </w:r>
      <w:r w:rsidRPr="004135B4">
        <w:rPr>
          <w:rFonts w:ascii="Times New Roman" w:hAnsi="Times New Roman" w:cs="Times New Roman"/>
          <w:i/>
          <w:sz w:val="24"/>
          <w:szCs w:val="24"/>
          <w:lang w:eastAsia="ru-RU"/>
        </w:rPr>
        <w:t>текущего контроля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35B4">
        <w:rPr>
          <w:rFonts w:ascii="Times New Roman" w:hAnsi="Times New Roman" w:cs="Times New Roman"/>
          <w:sz w:val="24"/>
          <w:szCs w:val="24"/>
        </w:rPr>
        <w:t>аудитор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- осуществляет контроль за соблюдением участниками мероприятия Регламента и Стандарта в процессе подготовки, проведения мероприятия и оформления его результатов;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- выявляет проблемы, возникающие при проведении мероприятия, в целях своевременного принятия мер по их разрешению.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Контрольно-счетной палаты поддерживает постоянный контакт с </w:t>
      </w:r>
      <w:r w:rsidRPr="004135B4">
        <w:rPr>
          <w:rFonts w:ascii="Times New Roman" w:hAnsi="Times New Roman" w:cs="Times New Roman"/>
          <w:sz w:val="24"/>
          <w:szCs w:val="24"/>
        </w:rPr>
        <w:t>аудитором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Участники мероприятия осуществляют самоконтроль и взаимоконтроль, в том числе на предмет обоснованности выводов, достаточности доказательной базы и ее качества, отсутствия грамматических и арифметических ошибок и т.п.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Проекты документов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>, подготовленные в ходе проведения мероприятия, подлежат обязательному рассмотрению сотрудниками, не принимающими участие в данном мероприятии, на предмет системности, последовательности, логичности и понятности изложения информации.</w:t>
      </w:r>
    </w:p>
    <w:p w:rsidR="004135B4" w:rsidRPr="004135B4" w:rsidRDefault="004135B4" w:rsidP="004135B4">
      <w:pPr>
        <w:numPr>
          <w:ilvl w:val="1"/>
          <w:numId w:val="5"/>
        </w:numPr>
        <w:tabs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i/>
          <w:sz w:val="24"/>
          <w:szCs w:val="24"/>
          <w:lang w:eastAsia="ru-RU"/>
        </w:rPr>
        <w:t>Последующий контроль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мероприятия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35B4" w:rsidRPr="004135B4" w:rsidRDefault="004135B4" w:rsidP="00413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Для объективной оценки качества проведенных мероприятий </w:t>
      </w:r>
      <w:r w:rsidRPr="004135B4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 xml:space="preserve"> также учитывается информация, полученная от внешних источников (глава МО ГО "Сыктывкар" - руководитель </w:t>
      </w:r>
      <w:r w:rsidR="00471303" w:rsidRPr="0047130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4135B4">
        <w:rPr>
          <w:rFonts w:ascii="Times New Roman" w:hAnsi="Times New Roman" w:cs="Times New Roman"/>
          <w:sz w:val="24"/>
          <w:szCs w:val="24"/>
          <w:lang w:eastAsia="ru-RU"/>
        </w:rPr>
        <w:t>, Совет МО ГО "Сыктывкар", иные отдельные заинтересованные органы и организации).</w:t>
      </w:r>
      <w:bookmarkStart w:id="1" w:name="_GoBack"/>
      <w:bookmarkEnd w:id="1"/>
    </w:p>
    <w:p w:rsidR="0046617D" w:rsidRPr="00977D5D" w:rsidRDefault="0046617D" w:rsidP="00977D5D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8A6" w:rsidRDefault="007138A6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C6C24" w:rsidRPr="003C6C24" w:rsidRDefault="003C6C24" w:rsidP="00E934DE">
      <w:pPr>
        <w:shd w:val="clear" w:color="auto" w:fill="FFFFFF"/>
        <w:suppressAutoHyphens w:val="0"/>
        <w:spacing w:after="0" w:line="240" w:lineRule="auto"/>
        <w:ind w:left="1701" w:right="7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6C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Лист ознакомления № ___:</w:t>
      </w:r>
    </w:p>
    <w:p w:rsidR="003C6C24" w:rsidRPr="003C6C24" w:rsidRDefault="003C6C24" w:rsidP="00E934DE">
      <w:pPr>
        <w:shd w:val="clear" w:color="auto" w:fill="FFFFFF"/>
        <w:suppressAutoHyphens w:val="0"/>
        <w:spacing w:after="0" w:line="240" w:lineRule="auto"/>
        <w:ind w:left="1701" w:right="79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0F74" w:rsidRDefault="003C6C24" w:rsidP="00E934DE">
      <w:pPr>
        <w:tabs>
          <w:tab w:val="left" w:pos="1260"/>
        </w:tabs>
        <w:suppressAutoHyphens w:val="0"/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6C24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3C6C24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="00F65D3C">
        <w:rPr>
          <w:rFonts w:ascii="Times New Roman" w:hAnsi="Times New Roman" w:cs="Times New Roman"/>
          <w:bCs/>
          <w:sz w:val="24"/>
          <w:szCs w:val="24"/>
          <w:lang w:eastAsia="ru-RU"/>
        </w:rPr>
        <w:t>ВМ</w:t>
      </w:r>
      <w:r w:rsidRPr="003C6C24">
        <w:rPr>
          <w:rFonts w:ascii="Times New Roman" w:hAnsi="Times New Roman" w:cs="Times New Roman"/>
          <w:bCs/>
          <w:sz w:val="24"/>
          <w:szCs w:val="24"/>
          <w:lang w:eastAsia="ru-RU"/>
        </w:rPr>
        <w:t>ФК</w:t>
      </w:r>
      <w:proofErr w:type="spellEnd"/>
      <w:r w:rsidRPr="003C6C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5370">
        <w:rPr>
          <w:rFonts w:ascii="Times New Roman" w:hAnsi="Times New Roman" w:cs="Times New Roman"/>
          <w:bCs/>
          <w:sz w:val="24"/>
          <w:szCs w:val="24"/>
          <w:lang w:eastAsia="ru-RU"/>
        </w:rPr>
        <w:t>"</w:t>
      </w:r>
      <w:r w:rsidR="00590F74">
        <w:rPr>
          <w:rFonts w:ascii="Times New Roman" w:hAnsi="Times New Roman" w:cs="Times New Roman"/>
          <w:sz w:val="28"/>
          <w:szCs w:val="28"/>
          <w:lang w:eastAsia="ru-RU"/>
        </w:rPr>
        <w:t>Осуществление аудита в сфере закупок"</w:t>
      </w:r>
    </w:p>
    <w:p w:rsidR="003C6C24" w:rsidRPr="003C6C24" w:rsidRDefault="003C6C24" w:rsidP="00E934DE">
      <w:pPr>
        <w:suppressAutoHyphens w:val="0"/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C6C24">
        <w:rPr>
          <w:rFonts w:ascii="Times New Roman" w:hAnsi="Times New Roman" w:cs="Times New Roman"/>
          <w:b/>
          <w:sz w:val="24"/>
          <w:szCs w:val="24"/>
          <w:lang w:eastAsia="ru-RU"/>
        </w:rPr>
        <w:t>ознакомлен</w:t>
      </w:r>
      <w:r w:rsidRPr="003C6C2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8936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391"/>
        <w:gridCol w:w="1794"/>
        <w:gridCol w:w="274"/>
        <w:gridCol w:w="2095"/>
        <w:gridCol w:w="274"/>
        <w:gridCol w:w="3222"/>
      </w:tblGrid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3C6C24" w:rsidRPr="00F65D3C" w:rsidTr="00E934DE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C24" w:rsidRPr="00F65D3C" w:rsidTr="00E934D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C24" w:rsidRPr="00F65D3C" w:rsidRDefault="003C6C24" w:rsidP="003C6C2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5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3C6C24" w:rsidRPr="004F4AF2" w:rsidRDefault="003C6C24" w:rsidP="003C6CA3">
      <w:pPr>
        <w:rPr>
          <w:rFonts w:ascii="Times New Roman" w:hAnsi="Times New Roman" w:cs="Times New Roman"/>
          <w:sz w:val="28"/>
          <w:szCs w:val="28"/>
        </w:rPr>
      </w:pPr>
    </w:p>
    <w:sectPr w:rsidR="003C6C24" w:rsidRPr="004F4AF2" w:rsidSect="00E934DE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418" w:header="34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30" w:rsidRDefault="00767830">
      <w:pPr>
        <w:spacing w:after="0" w:line="240" w:lineRule="auto"/>
      </w:pPr>
      <w:r>
        <w:separator/>
      </w:r>
    </w:p>
  </w:endnote>
  <w:endnote w:type="continuationSeparator" w:id="0">
    <w:p w:rsidR="00767830" w:rsidRDefault="0076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30" w:rsidRDefault="00767830">
      <w:pPr>
        <w:spacing w:after="0" w:line="240" w:lineRule="auto"/>
      </w:pPr>
      <w:r>
        <w:separator/>
      </w:r>
    </w:p>
  </w:footnote>
  <w:footnote w:type="continuationSeparator" w:id="0">
    <w:p w:rsidR="00767830" w:rsidRDefault="0076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70" w:rsidRDefault="00C05370" w:rsidP="001E249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370" w:rsidRDefault="00C053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359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5D3C" w:rsidRPr="00F65D3C" w:rsidRDefault="00F65D3C" w:rsidP="00016D49">
        <w:pPr>
          <w:pStyle w:val="ab"/>
          <w:spacing w:after="0" w:line="240" w:lineRule="auto"/>
          <w:jc w:val="center"/>
          <w:rPr>
            <w:rFonts w:ascii="Times New Roman" w:hAnsi="Times New Roman" w:cs="Times New Roman"/>
          </w:rPr>
        </w:pPr>
        <w:r w:rsidRPr="00F65D3C">
          <w:rPr>
            <w:rFonts w:ascii="Times New Roman" w:hAnsi="Times New Roman" w:cs="Times New Roman"/>
          </w:rPr>
          <w:fldChar w:fldCharType="begin"/>
        </w:r>
        <w:r w:rsidRPr="00F65D3C">
          <w:rPr>
            <w:rFonts w:ascii="Times New Roman" w:hAnsi="Times New Roman" w:cs="Times New Roman"/>
          </w:rPr>
          <w:instrText>PAGE   \* MERGEFORMAT</w:instrText>
        </w:r>
        <w:r w:rsidRPr="00F65D3C">
          <w:rPr>
            <w:rFonts w:ascii="Times New Roman" w:hAnsi="Times New Roman" w:cs="Times New Roman"/>
          </w:rPr>
          <w:fldChar w:fldCharType="separate"/>
        </w:r>
        <w:r w:rsidR="00471303">
          <w:rPr>
            <w:rFonts w:ascii="Times New Roman" w:hAnsi="Times New Roman" w:cs="Times New Roman"/>
            <w:noProof/>
          </w:rPr>
          <w:t>8</w:t>
        </w:r>
        <w:r w:rsidRPr="00F65D3C">
          <w:rPr>
            <w:rFonts w:ascii="Times New Roman" w:hAnsi="Times New Roman" w:cs="Times New Roman"/>
          </w:rPr>
          <w:fldChar w:fldCharType="end"/>
        </w:r>
      </w:p>
    </w:sdtContent>
  </w:sdt>
  <w:p w:rsidR="00C05370" w:rsidRPr="00590F74" w:rsidRDefault="00C05370">
    <w:pPr>
      <w:pStyle w:val="ab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F65D3C" w:rsidRPr="00F65D3C" w:rsidTr="0074069A">
      <w:trPr>
        <w:trHeight w:val="1607"/>
      </w:trPr>
      <w:tc>
        <w:tcPr>
          <w:tcW w:w="4068" w:type="dxa"/>
          <w:vAlign w:val="bottom"/>
        </w:tcPr>
        <w:p w:rsidR="00F65D3C" w:rsidRPr="00F65D3C" w:rsidRDefault="00F65D3C" w:rsidP="00F65D3C">
          <w:pPr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КОНТРОЛЬНО - СЧЕТНАЯ ПАЛАТА</w:t>
          </w:r>
        </w:p>
        <w:p w:rsidR="00F65D3C" w:rsidRPr="00F65D3C" w:rsidRDefault="00F65D3C" w:rsidP="00F65D3C">
          <w:pPr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МУНИЦИПАЛЬНОГО ОБРАЗОВАНИЯ</w:t>
          </w:r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br/>
            <w:t>ГОРОДСКОГО ОКРУГА “СЫКТЫВКАР”</w:t>
          </w:r>
        </w:p>
        <w:p w:rsidR="00F65D3C" w:rsidRPr="00F65D3C" w:rsidRDefault="00F65D3C" w:rsidP="00F65D3C">
          <w:pPr>
            <w:spacing w:after="0" w:line="240" w:lineRule="auto"/>
            <w:ind w:left="-180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461" w:type="dxa"/>
        </w:tcPr>
        <w:p w:rsidR="00F65D3C" w:rsidRPr="00F65D3C" w:rsidRDefault="00F65D3C" w:rsidP="00F65D3C">
          <w:pPr>
            <w:spacing w:after="0" w:line="240" w:lineRule="auto"/>
            <w:ind w:left="-108" w:right="-108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F65D3C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84C3599" wp14:editId="7EB11D66">
                <wp:extent cx="762000" cy="914400"/>
                <wp:effectExtent l="0" t="0" r="0" b="0"/>
                <wp:docPr id="8" name="Рисунок 8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F65D3C" w:rsidRPr="00F65D3C" w:rsidRDefault="00F65D3C" w:rsidP="00F65D3C">
          <w:pPr>
            <w:spacing w:after="0" w:line="240" w:lineRule="auto"/>
            <w:ind w:left="-181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 xml:space="preserve">“СЫКТЫВКАР” КАР </w:t>
          </w: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КЫТШЛÖН</w:t>
          </w:r>
          <w:proofErr w:type="spellEnd"/>
        </w:p>
        <w:p w:rsidR="00F65D3C" w:rsidRPr="00F65D3C" w:rsidRDefault="00F65D3C" w:rsidP="00F65D3C">
          <w:pPr>
            <w:spacing w:after="0" w:line="240" w:lineRule="auto"/>
            <w:ind w:left="-181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МУНИЦИПАЛЬНÖЙ</w:t>
          </w:r>
          <w:proofErr w:type="spellEnd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ЮКÖНСА</w:t>
          </w:r>
          <w:proofErr w:type="spellEnd"/>
        </w:p>
        <w:p w:rsidR="00F65D3C" w:rsidRPr="00F65D3C" w:rsidRDefault="00F65D3C" w:rsidP="00F65D3C">
          <w:pPr>
            <w:spacing w:after="0" w:line="240" w:lineRule="auto"/>
            <w:ind w:left="-180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ВИДЗÖДАН</w:t>
          </w:r>
          <w:proofErr w:type="spellEnd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 xml:space="preserve"> - </w:t>
          </w:r>
          <w:proofErr w:type="spellStart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>АРТАЛАН</w:t>
          </w:r>
          <w:proofErr w:type="spellEnd"/>
          <w:r w:rsidRPr="00F65D3C">
            <w:rPr>
              <w:rFonts w:ascii="Times New Roman" w:hAnsi="Times New Roman" w:cs="Times New Roman"/>
              <w:b/>
              <w:sz w:val="20"/>
              <w:szCs w:val="20"/>
            </w:rPr>
            <w:t xml:space="preserve"> ПАЛАТА</w:t>
          </w:r>
        </w:p>
        <w:p w:rsidR="00F65D3C" w:rsidRPr="00F65D3C" w:rsidRDefault="00F65D3C" w:rsidP="00F65D3C">
          <w:pPr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 w:rsidR="00F65D3C" w:rsidRPr="00F65D3C" w:rsidTr="0074069A">
      <w:tc>
        <w:tcPr>
          <w:tcW w:w="9214" w:type="dxa"/>
          <w:gridSpan w:val="3"/>
          <w:tcBorders>
            <w:top w:val="single" w:sz="4" w:space="0" w:color="auto"/>
          </w:tcBorders>
        </w:tcPr>
        <w:p w:rsidR="00F65D3C" w:rsidRPr="00F65D3C" w:rsidRDefault="00F65D3C" w:rsidP="00F65D3C">
          <w:pPr>
            <w:spacing w:after="0" w:line="240" w:lineRule="aut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65D3C">
            <w:rPr>
              <w:rFonts w:ascii="Times New Roman" w:hAnsi="Times New Roman" w:cs="Times New Roman"/>
              <w:sz w:val="19"/>
              <w:szCs w:val="19"/>
            </w:rPr>
            <w:t>Бабушкина ул., д. 22, каб. 204, г. Сыктывкар, 167000, тел/факс (8212) 214670, e-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</w:rPr>
            <w:t>mail</w:t>
          </w:r>
          <w:proofErr w:type="spellEnd"/>
          <w:r w:rsidRPr="00F65D3C">
            <w:rPr>
              <w:rFonts w:ascii="Times New Roman" w:hAnsi="Times New Roman" w:cs="Times New Roman"/>
              <w:sz w:val="19"/>
              <w:szCs w:val="19"/>
            </w:rPr>
            <w:t xml:space="preserve">: 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</w:rPr>
            <w:t>ksp</w:t>
          </w:r>
          <w:proofErr w:type="spellEnd"/>
          <w:r w:rsidRPr="00F65D3C">
            <w:rPr>
              <w:rFonts w:ascii="Times New Roman" w:hAnsi="Times New Roman" w:cs="Times New Roman"/>
              <w:sz w:val="19"/>
              <w:szCs w:val="19"/>
            </w:rPr>
            <w:t>@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  <w:lang w:val="en-US"/>
            </w:rPr>
            <w:t>sykt</w:t>
          </w:r>
          <w:proofErr w:type="spellEnd"/>
          <w:r w:rsidRPr="00F65D3C">
            <w:rPr>
              <w:rFonts w:ascii="Times New Roman" w:hAnsi="Times New Roman" w:cs="Times New Roman"/>
              <w:sz w:val="19"/>
              <w:szCs w:val="19"/>
            </w:rPr>
            <w:t>.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  <w:lang w:val="en-US"/>
            </w:rPr>
            <w:t>rkomi</w:t>
          </w:r>
          <w:proofErr w:type="spellEnd"/>
          <w:r w:rsidRPr="00F65D3C">
            <w:rPr>
              <w:rFonts w:ascii="Times New Roman" w:hAnsi="Times New Roman" w:cs="Times New Roman"/>
              <w:sz w:val="19"/>
              <w:szCs w:val="19"/>
            </w:rPr>
            <w:t>.</w:t>
          </w:r>
          <w:proofErr w:type="spellStart"/>
          <w:r w:rsidRPr="00F65D3C">
            <w:rPr>
              <w:rFonts w:ascii="Times New Roman" w:hAnsi="Times New Roman" w:cs="Times New Roman"/>
              <w:sz w:val="19"/>
              <w:szCs w:val="19"/>
            </w:rPr>
            <w:t>ru</w:t>
          </w:r>
          <w:proofErr w:type="spellEnd"/>
        </w:p>
      </w:tc>
      <w:tc>
        <w:tcPr>
          <w:tcW w:w="284" w:type="dxa"/>
        </w:tcPr>
        <w:p w:rsidR="00F65D3C" w:rsidRPr="00F65D3C" w:rsidRDefault="00F65D3C" w:rsidP="00F65D3C">
          <w:pPr>
            <w:spacing w:after="0" w:line="240" w:lineRule="aut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</w:tr>
  </w:tbl>
  <w:p w:rsidR="00F65D3C" w:rsidRPr="00F65D3C" w:rsidRDefault="00F65D3C" w:rsidP="00F65D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B31C1"/>
    <w:multiLevelType w:val="multilevel"/>
    <w:tmpl w:val="F392D3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7AA33A0"/>
    <w:multiLevelType w:val="multilevel"/>
    <w:tmpl w:val="EA7E7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14" w:hanging="4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2"/>
    <w:rsid w:val="00001EB1"/>
    <w:rsid w:val="00004F59"/>
    <w:rsid w:val="000075D1"/>
    <w:rsid w:val="00007DDC"/>
    <w:rsid w:val="00016D49"/>
    <w:rsid w:val="00031DF4"/>
    <w:rsid w:val="00087E5D"/>
    <w:rsid w:val="000D7E9B"/>
    <w:rsid w:val="001125E4"/>
    <w:rsid w:val="00116E26"/>
    <w:rsid w:val="00120448"/>
    <w:rsid w:val="001A3A6B"/>
    <w:rsid w:val="001A4788"/>
    <w:rsid w:val="001C4E5F"/>
    <w:rsid w:val="001D7F5F"/>
    <w:rsid w:val="001E1FA6"/>
    <w:rsid w:val="001E2497"/>
    <w:rsid w:val="00243DCA"/>
    <w:rsid w:val="00281643"/>
    <w:rsid w:val="002906E9"/>
    <w:rsid w:val="0029415D"/>
    <w:rsid w:val="002C0947"/>
    <w:rsid w:val="002D0262"/>
    <w:rsid w:val="002D2C06"/>
    <w:rsid w:val="002E72EB"/>
    <w:rsid w:val="0030482D"/>
    <w:rsid w:val="0030644F"/>
    <w:rsid w:val="00332D1D"/>
    <w:rsid w:val="00332DEF"/>
    <w:rsid w:val="003B4629"/>
    <w:rsid w:val="003B47B2"/>
    <w:rsid w:val="003C3844"/>
    <w:rsid w:val="003C6C24"/>
    <w:rsid w:val="003C6CA3"/>
    <w:rsid w:val="003D14E3"/>
    <w:rsid w:val="003F4991"/>
    <w:rsid w:val="00400217"/>
    <w:rsid w:val="004031EF"/>
    <w:rsid w:val="00403FBA"/>
    <w:rsid w:val="004112E3"/>
    <w:rsid w:val="004135B4"/>
    <w:rsid w:val="00433190"/>
    <w:rsid w:val="00454DE7"/>
    <w:rsid w:val="0046617D"/>
    <w:rsid w:val="00471303"/>
    <w:rsid w:val="0047357E"/>
    <w:rsid w:val="0049308D"/>
    <w:rsid w:val="004B25B1"/>
    <w:rsid w:val="004D3E55"/>
    <w:rsid w:val="004F1661"/>
    <w:rsid w:val="0051252D"/>
    <w:rsid w:val="0053034B"/>
    <w:rsid w:val="00532395"/>
    <w:rsid w:val="00561654"/>
    <w:rsid w:val="00565121"/>
    <w:rsid w:val="00590F74"/>
    <w:rsid w:val="005B6C36"/>
    <w:rsid w:val="005D5C04"/>
    <w:rsid w:val="005F25BA"/>
    <w:rsid w:val="005F31CA"/>
    <w:rsid w:val="006010AA"/>
    <w:rsid w:val="00616ADE"/>
    <w:rsid w:val="006321A7"/>
    <w:rsid w:val="006647AA"/>
    <w:rsid w:val="006652B9"/>
    <w:rsid w:val="006905C4"/>
    <w:rsid w:val="006E4AD6"/>
    <w:rsid w:val="006F65C8"/>
    <w:rsid w:val="007138A6"/>
    <w:rsid w:val="00716095"/>
    <w:rsid w:val="007268C1"/>
    <w:rsid w:val="007308AA"/>
    <w:rsid w:val="00743EA5"/>
    <w:rsid w:val="00746D12"/>
    <w:rsid w:val="0076428A"/>
    <w:rsid w:val="00767830"/>
    <w:rsid w:val="007E22E2"/>
    <w:rsid w:val="007E28F2"/>
    <w:rsid w:val="007E5E6D"/>
    <w:rsid w:val="008224F9"/>
    <w:rsid w:val="00831A2E"/>
    <w:rsid w:val="00844E87"/>
    <w:rsid w:val="008772A2"/>
    <w:rsid w:val="008E0436"/>
    <w:rsid w:val="00903562"/>
    <w:rsid w:val="00907D49"/>
    <w:rsid w:val="009474B8"/>
    <w:rsid w:val="009707C4"/>
    <w:rsid w:val="00977D5D"/>
    <w:rsid w:val="009B5442"/>
    <w:rsid w:val="009B65C1"/>
    <w:rsid w:val="009D2B99"/>
    <w:rsid w:val="009E0D3D"/>
    <w:rsid w:val="009F371F"/>
    <w:rsid w:val="009F6154"/>
    <w:rsid w:val="00A15951"/>
    <w:rsid w:val="00A96591"/>
    <w:rsid w:val="00AA29A4"/>
    <w:rsid w:val="00AB11B3"/>
    <w:rsid w:val="00B33E5E"/>
    <w:rsid w:val="00B45311"/>
    <w:rsid w:val="00B76753"/>
    <w:rsid w:val="00BB3886"/>
    <w:rsid w:val="00BC102A"/>
    <w:rsid w:val="00BC2FFA"/>
    <w:rsid w:val="00BC4410"/>
    <w:rsid w:val="00BD6C65"/>
    <w:rsid w:val="00BE76B3"/>
    <w:rsid w:val="00C01015"/>
    <w:rsid w:val="00C03601"/>
    <w:rsid w:val="00C05370"/>
    <w:rsid w:val="00C3398B"/>
    <w:rsid w:val="00C35085"/>
    <w:rsid w:val="00C463F5"/>
    <w:rsid w:val="00C47384"/>
    <w:rsid w:val="00C907F5"/>
    <w:rsid w:val="00C92069"/>
    <w:rsid w:val="00CC1763"/>
    <w:rsid w:val="00CD22AB"/>
    <w:rsid w:val="00CF0D8A"/>
    <w:rsid w:val="00D22E97"/>
    <w:rsid w:val="00D27D1F"/>
    <w:rsid w:val="00D46ACC"/>
    <w:rsid w:val="00D472E9"/>
    <w:rsid w:val="00D62BC5"/>
    <w:rsid w:val="00D730EE"/>
    <w:rsid w:val="00D817CA"/>
    <w:rsid w:val="00D93300"/>
    <w:rsid w:val="00DA6E01"/>
    <w:rsid w:val="00DB7135"/>
    <w:rsid w:val="00DE11AC"/>
    <w:rsid w:val="00DE2CAA"/>
    <w:rsid w:val="00DE39B1"/>
    <w:rsid w:val="00DF3205"/>
    <w:rsid w:val="00E00AC9"/>
    <w:rsid w:val="00E44135"/>
    <w:rsid w:val="00E90A77"/>
    <w:rsid w:val="00E934DE"/>
    <w:rsid w:val="00EA2762"/>
    <w:rsid w:val="00EA6D42"/>
    <w:rsid w:val="00EA7259"/>
    <w:rsid w:val="00F30993"/>
    <w:rsid w:val="00F65D3C"/>
    <w:rsid w:val="00F74D65"/>
    <w:rsid w:val="00F763EA"/>
    <w:rsid w:val="00FB01B2"/>
    <w:rsid w:val="00FB41D6"/>
    <w:rsid w:val="00FB4991"/>
    <w:rsid w:val="00FC7C6A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F55927-15F5-4D5B-A213-CAA8C892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uiPriority w:val="99"/>
    <w:rPr>
      <w:sz w:val="22"/>
      <w:szCs w:val="22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тиль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D0262"/>
  </w:style>
  <w:style w:type="paragraph" w:styleId="ae">
    <w:name w:val="List Paragraph"/>
    <w:basedOn w:val="a"/>
    <w:uiPriority w:val="34"/>
    <w:qFormat/>
    <w:rsid w:val="00116E2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61654"/>
    <w:pPr>
      <w:spacing w:after="0" w:line="240" w:lineRule="auto"/>
    </w:pPr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61654"/>
    <w:rPr>
      <w:rFonts w:ascii="Calibri" w:hAnsi="Calibri" w:cs="Calibri"/>
      <w:sz w:val="18"/>
      <w:szCs w:val="18"/>
      <w:lang w:eastAsia="ar-SA"/>
    </w:rPr>
  </w:style>
  <w:style w:type="paragraph" w:customStyle="1" w:styleId="12">
    <w:name w:val="1"/>
    <w:basedOn w:val="a"/>
    <w:rsid w:val="0046617D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mitasova</dc:creator>
  <cp:keywords/>
  <cp:lastModifiedBy>КСП-АлТем</cp:lastModifiedBy>
  <cp:revision>11</cp:revision>
  <cp:lastPrinted>2024-12-28T11:22:00Z</cp:lastPrinted>
  <dcterms:created xsi:type="dcterms:W3CDTF">2019-02-18T08:05:00Z</dcterms:created>
  <dcterms:modified xsi:type="dcterms:W3CDTF">2024-12-28T11:22:00Z</dcterms:modified>
</cp:coreProperties>
</file>