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Default="00F54C9F" w:rsidP="00F54C9F">
      <w:pPr>
        <w:contextualSpacing/>
        <w:jc w:val="center"/>
        <w:rPr>
          <w:sz w:val="36"/>
          <w:szCs w:val="36"/>
        </w:rPr>
      </w:pPr>
    </w:p>
    <w:p w:rsidR="00B16FD0" w:rsidRPr="003932EE" w:rsidRDefault="00B16FD0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Cs/>
          <w:sz w:val="28"/>
          <w:szCs w:val="28"/>
        </w:rPr>
      </w:pPr>
    </w:p>
    <w:p w:rsidR="00F54C9F" w:rsidRPr="00DA17FE" w:rsidRDefault="00DA17FE" w:rsidP="00F54C9F">
      <w:pPr>
        <w:pStyle w:val="a5"/>
        <w:tabs>
          <w:tab w:val="left" w:pos="1260"/>
        </w:tabs>
        <w:spacing w:after="0"/>
        <w:jc w:val="center"/>
        <w:rPr>
          <w:b/>
          <w:iCs/>
          <w:caps/>
          <w:sz w:val="22"/>
          <w:szCs w:val="24"/>
        </w:rPr>
      </w:pPr>
      <w:r w:rsidRPr="00DA17FE">
        <w:rPr>
          <w:bCs/>
          <w:sz w:val="24"/>
          <w:szCs w:val="28"/>
        </w:rPr>
        <w:t xml:space="preserve">СТАНДАРТ ВНЕШНЕГО МУНИЦИПАЛЬНОГО ФИНАНСОВОГО КОНТРОЛЯ </w:t>
      </w:r>
      <w:r w:rsidR="00F54C9F" w:rsidRPr="00DA17FE">
        <w:rPr>
          <w:sz w:val="24"/>
          <w:szCs w:val="28"/>
        </w:rPr>
        <w:t xml:space="preserve">ПРОВЕДЕНИЕ ВНЕШНЕЙ ПРОВЕРКИ ГОДОВОГО ОТЧЕТА ОБ ИСПОЛНЕНИИ </w:t>
      </w:r>
      <w:r w:rsidR="00F54C9F" w:rsidRPr="00DA17FE">
        <w:rPr>
          <w:iCs/>
          <w:caps/>
          <w:sz w:val="24"/>
          <w:szCs w:val="28"/>
        </w:rPr>
        <w:t xml:space="preserve">местного </w:t>
      </w:r>
      <w:r w:rsidR="00F54C9F" w:rsidRPr="00DA17FE">
        <w:rPr>
          <w:bCs/>
          <w:iCs/>
          <w:caps/>
          <w:sz w:val="24"/>
          <w:szCs w:val="28"/>
        </w:rPr>
        <w:t>бюджета</w:t>
      </w:r>
    </w:p>
    <w:p w:rsidR="00F54C9F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6F4F99" w:rsidRDefault="006F4F99" w:rsidP="00F54C9F">
      <w:pPr>
        <w:contextualSpacing/>
        <w:jc w:val="center"/>
        <w:rPr>
          <w:b/>
          <w:sz w:val="28"/>
          <w:szCs w:val="28"/>
        </w:rPr>
      </w:pPr>
    </w:p>
    <w:p w:rsidR="006F4F99" w:rsidRPr="003932EE" w:rsidRDefault="006F4F99" w:rsidP="00F54C9F">
      <w:pPr>
        <w:contextualSpacing/>
        <w:jc w:val="center"/>
        <w:rPr>
          <w:b/>
          <w:sz w:val="28"/>
          <w:szCs w:val="28"/>
        </w:rPr>
      </w:pPr>
    </w:p>
    <w:p w:rsidR="006F4F99" w:rsidRDefault="006F4F99" w:rsidP="006F4F99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</w:p>
    <w:p w:rsidR="00DA17FE" w:rsidRPr="00403B9C" w:rsidRDefault="00DA17FE" w:rsidP="00DA17FE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УТВЕРЖДАЮ</w:t>
      </w:r>
    </w:p>
    <w:p w:rsidR="00DA17FE" w:rsidRPr="00403B9C" w:rsidRDefault="00DA17FE" w:rsidP="00DA17FE">
      <w:pPr>
        <w:widowControl w:val="0"/>
        <w:tabs>
          <w:tab w:val="left" w:pos="4678"/>
        </w:tabs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председатель Контрольно-счетной</w:t>
      </w:r>
    </w:p>
    <w:p w:rsidR="00DA17FE" w:rsidRPr="00403B9C" w:rsidRDefault="00DA17FE" w:rsidP="00DA17FE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палаты МО ГО "Сыктывкар"</w:t>
      </w:r>
    </w:p>
    <w:p w:rsidR="00DA17FE" w:rsidRPr="00403B9C" w:rsidRDefault="00DA17FE" w:rsidP="00DA17FE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bCs/>
          <w:sz w:val="24"/>
          <w:szCs w:val="28"/>
          <w:lang w:eastAsia="ru-RU"/>
        </w:rPr>
      </w:pPr>
      <w:r w:rsidRPr="00403B9C">
        <w:rPr>
          <w:bCs/>
          <w:sz w:val="24"/>
          <w:szCs w:val="28"/>
          <w:lang w:eastAsia="ru-RU"/>
        </w:rPr>
        <w:t xml:space="preserve">_______________ </w:t>
      </w:r>
      <w:proofErr w:type="spellStart"/>
      <w:r w:rsidRPr="00403B9C">
        <w:rPr>
          <w:bCs/>
          <w:sz w:val="24"/>
          <w:szCs w:val="28"/>
          <w:lang w:eastAsia="ru-RU"/>
        </w:rPr>
        <w:t>А.С</w:t>
      </w:r>
      <w:proofErr w:type="spellEnd"/>
      <w:r w:rsidRPr="00403B9C">
        <w:rPr>
          <w:bCs/>
          <w:sz w:val="24"/>
          <w:szCs w:val="28"/>
          <w:lang w:eastAsia="ru-RU"/>
        </w:rPr>
        <w:t>. Темкин</w:t>
      </w:r>
    </w:p>
    <w:p w:rsidR="00DA17FE" w:rsidRPr="00403B9C" w:rsidRDefault="00DA17FE" w:rsidP="00DA17FE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"_____"________________ 20____г.</w:t>
      </w:r>
    </w:p>
    <w:p w:rsidR="00DA17FE" w:rsidRPr="00403B9C" w:rsidRDefault="00DA17FE" w:rsidP="00DA17FE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№ ____________________</w:t>
      </w: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3932EE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3932EE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3932EE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3932EE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3932EE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3932EE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3932EE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Default="00290F08" w:rsidP="00F54C9F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F7CEB">
        <w:rPr>
          <w:sz w:val="28"/>
          <w:szCs w:val="28"/>
        </w:rPr>
        <w:t>4</w:t>
      </w:r>
      <w:r w:rsidR="00F54C9F" w:rsidRPr="003932EE">
        <w:rPr>
          <w:sz w:val="28"/>
          <w:szCs w:val="28"/>
        </w:rPr>
        <w:t xml:space="preserve"> год</w:t>
      </w:r>
    </w:p>
    <w:p w:rsidR="00F54C9F" w:rsidRDefault="00F54C9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1437DC" w:rsidRPr="006138CD" w:rsidTr="009C48A7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6835F4" w:rsidRPr="006138CD" w:rsidRDefault="006835F4" w:rsidP="00D03C10">
            <w:pPr>
              <w:suppressAutoHyphens w:val="0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835F4" w:rsidRPr="006138CD" w:rsidRDefault="006835F4" w:rsidP="00D03C10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6835F4" w:rsidRPr="006138CD" w:rsidRDefault="006835F4" w:rsidP="00D03C10">
            <w:pPr>
              <w:suppressAutoHyphens w:val="0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страницы</w:t>
            </w:r>
          </w:p>
        </w:tc>
      </w:tr>
      <w:tr w:rsidR="00D8678B" w:rsidRPr="006138CD" w:rsidTr="00D8678B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835F4" w:rsidRPr="006138CD" w:rsidRDefault="006835F4" w:rsidP="00A0789E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835F4" w:rsidRPr="006138CD" w:rsidRDefault="00B0744D" w:rsidP="00D03C10">
            <w:pPr>
              <w:suppressAutoHyphens w:val="0"/>
              <w:jc w:val="both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835F4" w:rsidRPr="006138CD" w:rsidRDefault="003E4343" w:rsidP="00D8678B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3</w:t>
            </w:r>
          </w:p>
        </w:tc>
      </w:tr>
      <w:tr w:rsidR="00D8678B" w:rsidRPr="006138CD" w:rsidTr="00D8678B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290F08" w:rsidRPr="006138CD" w:rsidRDefault="00290F08" w:rsidP="00A0789E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90F08" w:rsidRPr="006138CD" w:rsidRDefault="00290F08" w:rsidP="00D03C10">
            <w:pPr>
              <w:suppressAutoHyphens w:val="0"/>
              <w:jc w:val="both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Цель, задачи, предмет и объекты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90F08" w:rsidRPr="006138CD" w:rsidRDefault="006138CD" w:rsidP="00D8678B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</w:t>
            </w:r>
          </w:p>
        </w:tc>
      </w:tr>
      <w:tr w:rsidR="00D8678B" w:rsidRPr="006138CD" w:rsidTr="00D8678B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290F08" w:rsidRPr="006138CD" w:rsidRDefault="00290F08" w:rsidP="00A0789E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90F08" w:rsidRPr="006138CD" w:rsidRDefault="00290F08" w:rsidP="00D03C10">
            <w:pPr>
              <w:suppressAutoHyphens w:val="0"/>
              <w:jc w:val="both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Источники информации и сроки проведения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90F08" w:rsidRPr="006138CD" w:rsidRDefault="006138CD" w:rsidP="00D8678B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</w:tr>
      <w:tr w:rsidR="00D8678B" w:rsidRPr="006138CD" w:rsidTr="00D8678B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835F4" w:rsidRPr="006138CD" w:rsidRDefault="00290F08" w:rsidP="00A0789E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835F4" w:rsidRPr="006138CD" w:rsidRDefault="006835F4" w:rsidP="00D03C10">
            <w:pPr>
              <w:suppressAutoHyphens w:val="0"/>
              <w:jc w:val="both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Содержание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835F4" w:rsidRPr="006138CD" w:rsidRDefault="006138CD" w:rsidP="00D8678B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</w:tr>
      <w:tr w:rsidR="00D8678B" w:rsidRPr="006138CD" w:rsidTr="00D8678B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25523E" w:rsidRPr="006138CD" w:rsidRDefault="00290F08" w:rsidP="00A0789E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5523E" w:rsidRPr="006138CD" w:rsidRDefault="00AD2515" w:rsidP="00D03C10">
            <w:pPr>
              <w:suppressAutoHyphens w:val="0"/>
              <w:jc w:val="both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Организация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5523E" w:rsidRPr="006138CD" w:rsidRDefault="006138CD" w:rsidP="00D8678B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</w:tr>
      <w:tr w:rsidR="00D8678B" w:rsidRPr="006138CD" w:rsidTr="00D8678B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25523E" w:rsidRPr="006138CD" w:rsidRDefault="00A0789E" w:rsidP="00A0789E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5523E" w:rsidRPr="006138CD" w:rsidRDefault="00D338A4" w:rsidP="00D03C10">
            <w:pPr>
              <w:suppressAutoHyphens w:val="0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Подготовка заключения по результатам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25523E" w:rsidRPr="006138CD" w:rsidRDefault="006138CD" w:rsidP="00D8678B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6</w:t>
            </w:r>
          </w:p>
        </w:tc>
      </w:tr>
      <w:tr w:rsidR="00D8678B" w:rsidRPr="006138CD" w:rsidTr="00D8678B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D338A4" w:rsidRPr="006138CD" w:rsidRDefault="00A0789E" w:rsidP="00A0789E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 w:rsidRPr="006138CD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811" w:type="dxa"/>
            <w:noWrap/>
          </w:tcPr>
          <w:p w:rsidR="00D338A4" w:rsidRPr="006138CD" w:rsidRDefault="006138CD" w:rsidP="00D338A4">
            <w:pPr>
              <w:pStyle w:val="Default"/>
              <w:rPr>
                <w:color w:val="auto"/>
                <w:szCs w:val="28"/>
              </w:rPr>
            </w:pPr>
            <w:r w:rsidRPr="006138CD">
              <w:rPr>
                <w:color w:val="auto"/>
                <w:szCs w:val="28"/>
              </w:rPr>
              <w:t xml:space="preserve">Контроль реализации результатов внешней проверки 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D338A4" w:rsidRPr="006138CD" w:rsidRDefault="006138CD" w:rsidP="00D8678B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7</w:t>
            </w:r>
          </w:p>
        </w:tc>
      </w:tr>
      <w:tr w:rsidR="006138CD" w:rsidRPr="006138CD" w:rsidTr="00D8678B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138CD" w:rsidRPr="006138CD" w:rsidRDefault="006138CD" w:rsidP="00A0789E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811" w:type="dxa"/>
            <w:noWrap/>
          </w:tcPr>
          <w:p w:rsidR="006138CD" w:rsidRPr="006138CD" w:rsidRDefault="006138CD" w:rsidP="00D338A4">
            <w:pPr>
              <w:pStyle w:val="Default"/>
              <w:rPr>
                <w:color w:val="auto"/>
                <w:szCs w:val="28"/>
              </w:rPr>
            </w:pPr>
            <w:r w:rsidRPr="006138CD">
              <w:rPr>
                <w:color w:val="auto"/>
                <w:szCs w:val="28"/>
              </w:rPr>
              <w:t>Управление качеством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138CD" w:rsidRDefault="006138CD" w:rsidP="00D8678B">
            <w:pPr>
              <w:suppressAutoHyphens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8</w:t>
            </w:r>
          </w:p>
        </w:tc>
      </w:tr>
    </w:tbl>
    <w:p w:rsidR="00F54C9F" w:rsidRDefault="00F54C9F" w:rsidP="00D03C1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54C9F" w:rsidRDefault="00F54C9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1B93" w:rsidRPr="00DA17FE" w:rsidRDefault="00671B93" w:rsidP="00C42B08">
      <w:pPr>
        <w:numPr>
          <w:ilvl w:val="0"/>
          <w:numId w:val="46"/>
        </w:numPr>
        <w:tabs>
          <w:tab w:val="left" w:pos="1134"/>
        </w:tabs>
        <w:suppressAutoHyphens w:val="0"/>
        <w:spacing w:before="120" w:after="120"/>
        <w:ind w:left="714" w:hanging="357"/>
        <w:jc w:val="center"/>
        <w:rPr>
          <w:b/>
          <w:sz w:val="24"/>
          <w:szCs w:val="28"/>
        </w:rPr>
      </w:pPr>
      <w:r w:rsidRPr="00DA17FE">
        <w:rPr>
          <w:b/>
          <w:sz w:val="24"/>
          <w:szCs w:val="28"/>
        </w:rPr>
        <w:lastRenderedPageBreak/>
        <w:t>Общие положения</w:t>
      </w:r>
    </w:p>
    <w:p w:rsidR="00DA17FE" w:rsidRPr="00AF3D56" w:rsidRDefault="00DA17FE" w:rsidP="00DA17FE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DA17FE">
        <w:rPr>
          <w:rFonts w:eastAsia="Calibri"/>
          <w:sz w:val="24"/>
          <w:szCs w:val="24"/>
          <w:lang w:eastAsia="en-US"/>
        </w:rPr>
        <w:t>Стандарт</w:t>
      </w:r>
      <w:r w:rsidRPr="00AF3D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внешнего муниципального </w:t>
      </w:r>
      <w:r w:rsidRPr="00AF3D56">
        <w:rPr>
          <w:sz w:val="24"/>
          <w:szCs w:val="24"/>
        </w:rPr>
        <w:t>финансового контроля "</w:t>
      </w:r>
      <w:r>
        <w:rPr>
          <w:sz w:val="24"/>
          <w:szCs w:val="24"/>
        </w:rPr>
        <w:t>П</w:t>
      </w:r>
      <w:r w:rsidRPr="00DA17FE">
        <w:rPr>
          <w:sz w:val="24"/>
          <w:szCs w:val="24"/>
        </w:rPr>
        <w:t>роведение внешней проверки годового отчета об исполнении местного бюджета</w:t>
      </w:r>
      <w:r w:rsidRPr="00AF3D56">
        <w:rPr>
          <w:sz w:val="24"/>
          <w:szCs w:val="24"/>
        </w:rPr>
        <w:t xml:space="preserve">" (далее – Стандарт) разработан </w:t>
      </w:r>
      <w:r w:rsidRPr="00AF3D56">
        <w:rPr>
          <w:rFonts w:eastAsia="Calibri"/>
          <w:bCs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DA17FE" w:rsidRPr="00075F9F" w:rsidRDefault="00DA17FE" w:rsidP="00DA17FE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AF3D56">
        <w:rPr>
          <w:rFonts w:eastAsia="Calibri"/>
          <w:sz w:val="24"/>
          <w:szCs w:val="24"/>
          <w:lang w:eastAsia="en-US"/>
        </w:rPr>
        <w:t xml:space="preserve">Стандарт – внутренний нормативный документ </w:t>
      </w:r>
      <w:r w:rsidRPr="00AF3D56">
        <w:rPr>
          <w:rFonts w:eastAsia="Calibri"/>
          <w:bCs/>
          <w:sz w:val="24"/>
          <w:szCs w:val="24"/>
          <w:lang w:eastAsia="en-US"/>
        </w:rPr>
        <w:t xml:space="preserve">Контрольно-счетной палаты муниципального образования городского округа "Сыктывкар" (далее – </w:t>
      </w:r>
      <w:r w:rsidRPr="00AF3D56">
        <w:rPr>
          <w:sz w:val="24"/>
          <w:szCs w:val="24"/>
        </w:rPr>
        <w:t>Контрольно-счетная палата</w:t>
      </w:r>
      <w:r w:rsidRPr="00AF3D56">
        <w:rPr>
          <w:rFonts w:eastAsia="Calibri"/>
          <w:bCs/>
          <w:sz w:val="24"/>
          <w:szCs w:val="24"/>
          <w:lang w:eastAsia="en-US"/>
        </w:rPr>
        <w:t>)</w:t>
      </w:r>
      <w:r w:rsidRPr="00AF3D56">
        <w:rPr>
          <w:rFonts w:eastAsia="Calibri"/>
          <w:sz w:val="24"/>
          <w:szCs w:val="24"/>
          <w:lang w:eastAsia="en-US"/>
        </w:rPr>
        <w:t xml:space="preserve">, определяющий требования, правила и процедуры осуществления деятельности </w:t>
      </w:r>
      <w:r w:rsidRPr="00AF3D56">
        <w:rPr>
          <w:sz w:val="24"/>
          <w:szCs w:val="24"/>
        </w:rPr>
        <w:t>Контрольно-счетной палаты</w:t>
      </w:r>
      <w:r w:rsidRPr="00075F9F">
        <w:rPr>
          <w:sz w:val="24"/>
          <w:szCs w:val="24"/>
        </w:rPr>
        <w:t xml:space="preserve"> по проведению </w:t>
      </w:r>
      <w:r w:rsidR="00075F9F" w:rsidRPr="00075F9F">
        <w:rPr>
          <w:sz w:val="24"/>
          <w:szCs w:val="24"/>
        </w:rPr>
        <w:t>внешней проверки годового отчета об исполнении местного бюджета, включая внешнюю проверку бюджетной отч</w:t>
      </w:r>
      <w:r w:rsidR="00075F9F">
        <w:rPr>
          <w:sz w:val="24"/>
          <w:szCs w:val="24"/>
        </w:rPr>
        <w:t>е</w:t>
      </w:r>
      <w:r w:rsidR="00075F9F" w:rsidRPr="00075F9F">
        <w:rPr>
          <w:sz w:val="24"/>
          <w:szCs w:val="24"/>
        </w:rPr>
        <w:t xml:space="preserve">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</w:t>
      </w:r>
      <w:proofErr w:type="spellStart"/>
      <w:r w:rsidR="00075F9F" w:rsidRPr="00075F9F">
        <w:rPr>
          <w:sz w:val="24"/>
          <w:szCs w:val="24"/>
        </w:rPr>
        <w:t>ГАБС</w:t>
      </w:r>
      <w:proofErr w:type="spellEnd"/>
      <w:r w:rsidR="00075F9F" w:rsidRPr="00075F9F">
        <w:rPr>
          <w:sz w:val="24"/>
          <w:szCs w:val="24"/>
        </w:rPr>
        <w:t>)</w:t>
      </w:r>
      <w:r w:rsidRPr="00075F9F">
        <w:rPr>
          <w:sz w:val="24"/>
          <w:szCs w:val="24"/>
        </w:rPr>
        <w:t>.</w:t>
      </w:r>
    </w:p>
    <w:p w:rsidR="00DA17FE" w:rsidRPr="00AF3D56" w:rsidRDefault="00DA17FE" w:rsidP="00DA17FE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F3D56">
        <w:rPr>
          <w:rFonts w:eastAsia="Calibri"/>
          <w:sz w:val="24"/>
          <w:szCs w:val="24"/>
          <w:lang w:eastAsia="en-US"/>
        </w:rPr>
        <w:t xml:space="preserve">Целью Стандарта является установление общих правил и процедур проведения </w:t>
      </w:r>
      <w:r w:rsidRPr="00AF3D56">
        <w:rPr>
          <w:sz w:val="24"/>
          <w:szCs w:val="24"/>
        </w:rPr>
        <w:t xml:space="preserve">Контрольно-счетной палатой </w:t>
      </w:r>
      <w:r w:rsidRPr="00DA17FE">
        <w:rPr>
          <w:rFonts w:eastAsia="Calibri"/>
          <w:sz w:val="24"/>
          <w:szCs w:val="24"/>
          <w:lang w:eastAsia="en-US"/>
        </w:rPr>
        <w:t>внешней проверки годового отчета об исполнении местного бюджета</w:t>
      </w:r>
      <w:r>
        <w:rPr>
          <w:rFonts w:eastAsia="Calibri"/>
          <w:sz w:val="24"/>
          <w:szCs w:val="24"/>
          <w:lang w:eastAsia="en-US"/>
        </w:rPr>
        <w:t xml:space="preserve"> (далее – внешняя проверка)</w:t>
      </w:r>
      <w:r w:rsidRPr="00AF3D56">
        <w:rPr>
          <w:rFonts w:eastAsia="Calibri"/>
          <w:sz w:val="24"/>
          <w:szCs w:val="24"/>
          <w:lang w:eastAsia="en-US"/>
        </w:rPr>
        <w:t>.</w:t>
      </w:r>
    </w:p>
    <w:p w:rsidR="00DA17FE" w:rsidRPr="000D2E84" w:rsidRDefault="00DA17FE" w:rsidP="00DA17FE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F3D56">
        <w:rPr>
          <w:rFonts w:eastAsia="Calibri"/>
          <w:sz w:val="24"/>
          <w:szCs w:val="24"/>
          <w:lang w:eastAsia="en-US"/>
        </w:rPr>
        <w:t>Задачами Стандарта являются определение</w:t>
      </w:r>
      <w:r w:rsidRPr="004A0642">
        <w:rPr>
          <w:rFonts w:eastAsia="Calibri"/>
          <w:sz w:val="24"/>
          <w:szCs w:val="24"/>
          <w:lang w:eastAsia="en-US"/>
        </w:rPr>
        <w:t xml:space="preserve"> порядка организации и проведения </w:t>
      </w:r>
      <w:r>
        <w:rPr>
          <w:rFonts w:eastAsia="Calibri"/>
          <w:sz w:val="24"/>
          <w:szCs w:val="24"/>
          <w:lang w:eastAsia="en-US"/>
        </w:rPr>
        <w:t>внешней проверки</w:t>
      </w:r>
      <w:r w:rsidRPr="004A0642">
        <w:rPr>
          <w:rFonts w:eastAsia="Calibri"/>
          <w:sz w:val="24"/>
          <w:szCs w:val="24"/>
          <w:lang w:eastAsia="en-US"/>
        </w:rPr>
        <w:t>; порядка оформления</w:t>
      </w:r>
      <w:r>
        <w:rPr>
          <w:rFonts w:eastAsia="Calibri"/>
          <w:sz w:val="24"/>
          <w:szCs w:val="24"/>
          <w:lang w:eastAsia="en-US"/>
        </w:rPr>
        <w:t xml:space="preserve"> ее результатов</w:t>
      </w:r>
      <w:r w:rsidRPr="004A0642">
        <w:rPr>
          <w:rFonts w:eastAsia="Calibri"/>
          <w:sz w:val="24"/>
          <w:szCs w:val="24"/>
          <w:lang w:eastAsia="en-US"/>
        </w:rPr>
        <w:t>.</w:t>
      </w:r>
    </w:p>
    <w:p w:rsidR="006016D9" w:rsidRPr="00075F9F" w:rsidRDefault="006016D9" w:rsidP="00075F9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75F9F">
        <w:rPr>
          <w:rFonts w:eastAsia="Calibri"/>
          <w:sz w:val="24"/>
          <w:szCs w:val="24"/>
          <w:lang w:eastAsia="en-US"/>
        </w:rPr>
        <w:t xml:space="preserve">Под внешней проверкой в настоящем Стандарте понимается совокупность взаимосвязанных действий, объединённых общим предметом и позволяющих подготовить заключение </w:t>
      </w:r>
      <w:r w:rsidR="00075F9F" w:rsidRPr="00075F9F">
        <w:rPr>
          <w:rFonts w:eastAsia="Calibri"/>
          <w:sz w:val="24"/>
          <w:szCs w:val="24"/>
          <w:lang w:eastAsia="en-US"/>
        </w:rPr>
        <w:t xml:space="preserve">Контрольно-счетной палаты </w:t>
      </w:r>
      <w:r w:rsidRPr="00075F9F">
        <w:rPr>
          <w:rFonts w:eastAsia="Calibri"/>
          <w:sz w:val="24"/>
          <w:szCs w:val="24"/>
          <w:lang w:eastAsia="en-US"/>
        </w:rPr>
        <w:t xml:space="preserve">на годовой отчёт об исполнении муниципального бюджета с учётом данных внешней проверки годовой бюджетной отчётности </w:t>
      </w:r>
      <w:proofErr w:type="spellStart"/>
      <w:r w:rsidRPr="00075F9F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075F9F">
        <w:rPr>
          <w:rFonts w:eastAsia="Calibri"/>
          <w:sz w:val="24"/>
          <w:szCs w:val="24"/>
          <w:lang w:eastAsia="en-US"/>
        </w:rPr>
        <w:t xml:space="preserve"> в соответствии с требованиями Бюджетного кодекса РФ.</w:t>
      </w:r>
    </w:p>
    <w:p w:rsidR="006F653C" w:rsidRPr="00C42B08" w:rsidRDefault="006F653C" w:rsidP="00C42B08">
      <w:pPr>
        <w:numPr>
          <w:ilvl w:val="0"/>
          <w:numId w:val="46"/>
        </w:numPr>
        <w:tabs>
          <w:tab w:val="left" w:pos="1134"/>
        </w:tabs>
        <w:suppressAutoHyphens w:val="0"/>
        <w:spacing w:before="120" w:after="120"/>
        <w:ind w:left="714" w:hanging="357"/>
        <w:jc w:val="center"/>
        <w:rPr>
          <w:b/>
          <w:sz w:val="24"/>
          <w:szCs w:val="28"/>
        </w:rPr>
      </w:pPr>
      <w:r w:rsidRPr="00C42B08">
        <w:rPr>
          <w:b/>
          <w:sz w:val="24"/>
          <w:szCs w:val="28"/>
        </w:rPr>
        <w:t xml:space="preserve">Цель, задачи, предмет и объекты внешней проверки </w:t>
      </w:r>
    </w:p>
    <w:p w:rsidR="006835F4" w:rsidRPr="00C42B08" w:rsidRDefault="006F653C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 xml:space="preserve">Целью проведения внешней проверки является установление достоверности годового отчёта об исполнении </w:t>
      </w:r>
      <w:r w:rsidR="00A65915" w:rsidRPr="00C42B08">
        <w:rPr>
          <w:rFonts w:eastAsia="Calibri"/>
          <w:sz w:val="24"/>
          <w:szCs w:val="24"/>
          <w:lang w:eastAsia="en-US"/>
        </w:rPr>
        <w:t>муниципального</w:t>
      </w:r>
      <w:r w:rsidRPr="00C42B08">
        <w:rPr>
          <w:rFonts w:eastAsia="Calibri"/>
          <w:sz w:val="24"/>
          <w:szCs w:val="24"/>
          <w:lang w:eastAsia="en-US"/>
        </w:rPr>
        <w:t xml:space="preserve"> бюджета и бюджетной отчётности </w:t>
      </w:r>
      <w:proofErr w:type="spellStart"/>
      <w:r w:rsidRPr="00C42B08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C42B08">
        <w:rPr>
          <w:rFonts w:eastAsia="Calibri"/>
          <w:sz w:val="24"/>
          <w:szCs w:val="24"/>
          <w:lang w:eastAsia="en-US"/>
        </w:rPr>
        <w:t xml:space="preserve">, законности и результативности деятельности по исполнению </w:t>
      </w:r>
      <w:r w:rsidR="00A65915" w:rsidRPr="00C42B08">
        <w:rPr>
          <w:rFonts w:eastAsia="Calibri"/>
          <w:sz w:val="24"/>
          <w:szCs w:val="24"/>
          <w:lang w:eastAsia="en-US"/>
        </w:rPr>
        <w:t>муниципального</w:t>
      </w:r>
      <w:r w:rsidRPr="00C42B08">
        <w:rPr>
          <w:rFonts w:eastAsia="Calibri"/>
          <w:sz w:val="24"/>
          <w:szCs w:val="24"/>
          <w:lang w:eastAsia="en-US"/>
        </w:rPr>
        <w:t xml:space="preserve"> бюджета в отчётном финансовом году</w:t>
      </w:r>
      <w:r w:rsidR="00A65915" w:rsidRPr="00C42B08">
        <w:rPr>
          <w:rFonts w:eastAsia="Calibri"/>
          <w:sz w:val="24"/>
          <w:szCs w:val="24"/>
          <w:lang w:eastAsia="en-US"/>
        </w:rPr>
        <w:t>.</w:t>
      </w:r>
    </w:p>
    <w:p w:rsidR="00A65915" w:rsidRPr="00C42B08" w:rsidRDefault="00A65915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 xml:space="preserve">Основными задачами внешней проверки являются: </w:t>
      </w:r>
    </w:p>
    <w:p w:rsidR="00A65915" w:rsidRPr="00C42B08" w:rsidRDefault="00A65915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t xml:space="preserve">- определение достоверности, полноты и соответствия нормативным требованиям составления и представления бюджетной отчётности </w:t>
      </w:r>
      <w:proofErr w:type="spellStart"/>
      <w:r w:rsidRPr="00C42B08">
        <w:rPr>
          <w:color w:val="000000"/>
          <w:sz w:val="24"/>
          <w:szCs w:val="28"/>
          <w:lang w:eastAsia="ru-RU"/>
        </w:rPr>
        <w:t>ГАБС</w:t>
      </w:r>
      <w:proofErr w:type="spellEnd"/>
      <w:r w:rsidRPr="00C42B08">
        <w:rPr>
          <w:color w:val="000000"/>
          <w:sz w:val="24"/>
          <w:szCs w:val="28"/>
          <w:lang w:eastAsia="ru-RU"/>
        </w:rPr>
        <w:t xml:space="preserve">; </w:t>
      </w:r>
    </w:p>
    <w:p w:rsidR="00A65915" w:rsidRPr="00C42B08" w:rsidRDefault="00A65915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t>- установление полноты и достоверности годового отчёта об исполнении муниципального бюджета;</w:t>
      </w:r>
    </w:p>
    <w:p w:rsidR="00A65915" w:rsidRPr="00C42B08" w:rsidRDefault="00A65915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t xml:space="preserve">- оценка соблюдения (выполнения) бюджетных назначений и иных показателей, установленных решением о бюджете; </w:t>
      </w:r>
    </w:p>
    <w:p w:rsidR="00A65915" w:rsidRPr="00C42B08" w:rsidRDefault="00A65915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t xml:space="preserve">- оценка формирования и исполнения доходных и расходных частей бюджета, дефицита (профицита) муниципального бюджета; </w:t>
      </w:r>
    </w:p>
    <w:p w:rsidR="00A65915" w:rsidRPr="00C42B08" w:rsidRDefault="00A65915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t xml:space="preserve">- анализ дебиторской задолженности, в том числе дебиторской задолженности по видам доходов, по выданным авансам (в разрезе муниципальных контрактов, соглашений (выборочно) на предмет завершения расчетов в отчетном периоде и объемов оставшейся дебиторской задолженности на конец отчетного финансового года), дебиторской задолженности, образованной по расходам инвестиционного характера, включая капитальные вложения, анализ долгосрочной и просроченной дебиторской задолженности; </w:t>
      </w:r>
    </w:p>
    <w:p w:rsidR="00A65915" w:rsidRPr="00C42B08" w:rsidRDefault="00A65915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t>- выявление причин увеличения задолженности (с учетом установленного уровня существенности), а также оценка рисков образования просроченной задолженности;</w:t>
      </w:r>
    </w:p>
    <w:p w:rsidR="00A65915" w:rsidRPr="00C42B08" w:rsidRDefault="006F0816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t>- </w:t>
      </w:r>
      <w:r w:rsidR="00A65915" w:rsidRPr="00C42B08">
        <w:rPr>
          <w:color w:val="000000"/>
          <w:sz w:val="24"/>
          <w:szCs w:val="28"/>
          <w:lang w:eastAsia="ru-RU"/>
        </w:rPr>
        <w:t xml:space="preserve">анализ мер, принимаемых </w:t>
      </w:r>
      <w:proofErr w:type="spellStart"/>
      <w:r w:rsidRPr="00C42B08">
        <w:rPr>
          <w:color w:val="000000"/>
          <w:sz w:val="24"/>
          <w:szCs w:val="28"/>
          <w:lang w:eastAsia="ru-RU"/>
        </w:rPr>
        <w:t>ГАБС</w:t>
      </w:r>
      <w:proofErr w:type="spellEnd"/>
      <w:r w:rsidR="00A65915" w:rsidRPr="00C42B08">
        <w:rPr>
          <w:color w:val="000000"/>
          <w:sz w:val="24"/>
          <w:szCs w:val="28"/>
          <w:lang w:eastAsia="ru-RU"/>
        </w:rPr>
        <w:t xml:space="preserve"> по сокращению дебиторской задолженности (с учетом установленного уровня существенности), и выявление безнадежной к взысканию задолженности, оценка их</w:t>
      </w:r>
      <w:r w:rsidRPr="00C42B08">
        <w:rPr>
          <w:color w:val="000000"/>
          <w:sz w:val="24"/>
          <w:szCs w:val="28"/>
          <w:lang w:eastAsia="ru-RU"/>
        </w:rPr>
        <w:t xml:space="preserve"> достаточности и эффективности;</w:t>
      </w:r>
    </w:p>
    <w:p w:rsidR="00A65915" w:rsidRPr="00C42B08" w:rsidRDefault="006F0816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t>- </w:t>
      </w:r>
      <w:r w:rsidR="00A65915" w:rsidRPr="00C42B08">
        <w:rPr>
          <w:color w:val="000000"/>
          <w:sz w:val="24"/>
          <w:szCs w:val="28"/>
          <w:lang w:eastAsia="ru-RU"/>
        </w:rPr>
        <w:t xml:space="preserve">определение эффективности деятельности по управлению </w:t>
      </w:r>
      <w:r w:rsidRPr="00C42B08">
        <w:rPr>
          <w:color w:val="000000"/>
          <w:sz w:val="24"/>
          <w:szCs w:val="28"/>
          <w:lang w:eastAsia="ru-RU"/>
        </w:rPr>
        <w:t>муниципальным</w:t>
      </w:r>
      <w:r w:rsidR="00A65915" w:rsidRPr="00C42B08">
        <w:rPr>
          <w:color w:val="000000"/>
          <w:sz w:val="24"/>
          <w:szCs w:val="28"/>
          <w:lang w:eastAsia="ru-RU"/>
        </w:rPr>
        <w:t xml:space="preserve"> имуществом (полноты и своевременности поступления в бюджет доходов от использования </w:t>
      </w:r>
      <w:r w:rsidRPr="00C42B08">
        <w:rPr>
          <w:color w:val="000000"/>
          <w:sz w:val="24"/>
          <w:szCs w:val="28"/>
          <w:lang w:eastAsia="ru-RU"/>
        </w:rPr>
        <w:t>муниципального</w:t>
      </w:r>
      <w:r w:rsidR="00A65915" w:rsidRPr="00C42B08">
        <w:rPr>
          <w:color w:val="000000"/>
          <w:sz w:val="24"/>
          <w:szCs w:val="28"/>
          <w:lang w:eastAsia="ru-RU"/>
        </w:rPr>
        <w:t xml:space="preserve"> имущества), </w:t>
      </w:r>
      <w:r w:rsidRPr="00C42B08">
        <w:rPr>
          <w:color w:val="000000"/>
          <w:sz w:val="24"/>
          <w:szCs w:val="28"/>
          <w:lang w:eastAsia="ru-RU"/>
        </w:rPr>
        <w:t>муниципальным долгом;</w:t>
      </w:r>
    </w:p>
    <w:p w:rsidR="00A65915" w:rsidRPr="00C42B08" w:rsidRDefault="006F0816" w:rsidP="00C42B08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8"/>
          <w:lang w:eastAsia="ru-RU"/>
        </w:rPr>
      </w:pPr>
      <w:r w:rsidRPr="00C42B08">
        <w:rPr>
          <w:color w:val="000000"/>
          <w:sz w:val="24"/>
          <w:szCs w:val="28"/>
          <w:lang w:eastAsia="ru-RU"/>
        </w:rPr>
        <w:lastRenderedPageBreak/>
        <w:t>- </w:t>
      </w:r>
      <w:r w:rsidR="00A65915" w:rsidRPr="00C42B08">
        <w:rPr>
          <w:color w:val="000000"/>
          <w:sz w:val="24"/>
          <w:szCs w:val="28"/>
          <w:lang w:eastAsia="ru-RU"/>
        </w:rPr>
        <w:t xml:space="preserve">анализ результатов внутреннего финансового контроля и принимаемых </w:t>
      </w:r>
      <w:r w:rsidRPr="00C42B08">
        <w:rPr>
          <w:color w:val="000000"/>
          <w:sz w:val="24"/>
          <w:szCs w:val="28"/>
          <w:lang w:eastAsia="ru-RU"/>
        </w:rPr>
        <w:t>мер по установленным нарушениям.</w:t>
      </w:r>
      <w:r w:rsidR="00A65915" w:rsidRPr="00C42B08">
        <w:rPr>
          <w:color w:val="000000"/>
          <w:sz w:val="24"/>
          <w:szCs w:val="28"/>
          <w:lang w:eastAsia="ru-RU"/>
        </w:rPr>
        <w:t xml:space="preserve"> </w:t>
      </w:r>
    </w:p>
    <w:p w:rsidR="00A65915" w:rsidRPr="00C42B08" w:rsidRDefault="006F0816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 xml:space="preserve">Предметом внешней проверки является годовая отчетность </w:t>
      </w:r>
      <w:proofErr w:type="spellStart"/>
      <w:r w:rsidRPr="00C42B08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C42B08">
        <w:rPr>
          <w:rFonts w:eastAsia="Calibri"/>
          <w:sz w:val="24"/>
          <w:szCs w:val="24"/>
          <w:lang w:eastAsia="en-US"/>
        </w:rPr>
        <w:t xml:space="preserve">, годовой отчёт об исполнении муниципального бюджета за отчётный финансовый год. </w:t>
      </w:r>
    </w:p>
    <w:p w:rsidR="00A65915" w:rsidRPr="00C42B08" w:rsidRDefault="006F0816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 xml:space="preserve">Объектами внешней проверки являются финансовый орган, </w:t>
      </w:r>
      <w:proofErr w:type="spellStart"/>
      <w:r w:rsidRPr="00C42B08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C42B08">
        <w:rPr>
          <w:rFonts w:eastAsia="Calibri"/>
          <w:sz w:val="24"/>
          <w:szCs w:val="24"/>
          <w:lang w:eastAsia="en-US"/>
        </w:rPr>
        <w:t xml:space="preserve">. В ходе внешней проверки могут проводиться встречные выборочные проверки в отношении иных органов и организаций, на которые распространяются полномочия </w:t>
      </w:r>
      <w:r w:rsidR="00C42B08">
        <w:rPr>
          <w:rFonts w:eastAsia="Calibri"/>
          <w:sz w:val="24"/>
          <w:szCs w:val="24"/>
          <w:lang w:eastAsia="en-US"/>
        </w:rPr>
        <w:t>Контрольно-счетной палаты</w:t>
      </w:r>
      <w:r w:rsidRPr="00C42B08">
        <w:rPr>
          <w:rFonts w:eastAsia="Calibri"/>
          <w:sz w:val="24"/>
          <w:szCs w:val="24"/>
          <w:lang w:eastAsia="en-US"/>
        </w:rPr>
        <w:t>.</w:t>
      </w:r>
    </w:p>
    <w:p w:rsidR="00A65915" w:rsidRPr="00C42B08" w:rsidRDefault="006F0816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>Внешняя проверка предусматривает проведение экспертно-аналитических мероприятий.</w:t>
      </w:r>
    </w:p>
    <w:p w:rsidR="006F0816" w:rsidRPr="00C42B08" w:rsidRDefault="006F0816" w:rsidP="00C42B08">
      <w:pPr>
        <w:numPr>
          <w:ilvl w:val="0"/>
          <w:numId w:val="46"/>
        </w:numPr>
        <w:tabs>
          <w:tab w:val="left" w:pos="1134"/>
        </w:tabs>
        <w:suppressAutoHyphens w:val="0"/>
        <w:spacing w:before="120" w:after="120"/>
        <w:ind w:left="714" w:hanging="357"/>
        <w:jc w:val="center"/>
        <w:rPr>
          <w:b/>
          <w:sz w:val="24"/>
          <w:szCs w:val="28"/>
        </w:rPr>
      </w:pPr>
      <w:r w:rsidRPr="00C42B08">
        <w:rPr>
          <w:b/>
          <w:sz w:val="24"/>
          <w:szCs w:val="28"/>
        </w:rPr>
        <w:t xml:space="preserve">Источники информации и сроки проведения внешней проверки </w:t>
      </w:r>
    </w:p>
    <w:p w:rsidR="00BB5894" w:rsidRPr="00C42B08" w:rsidRDefault="00BB5894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 xml:space="preserve">Информационной основой проведения внешней проверки являются: </w:t>
      </w:r>
    </w:p>
    <w:p w:rsidR="00BB5894" w:rsidRPr="00C42B08" w:rsidRDefault="00BB5894" w:rsidP="00C42B08">
      <w:pPr>
        <w:pStyle w:val="Default"/>
        <w:ind w:firstLine="567"/>
        <w:jc w:val="both"/>
        <w:rPr>
          <w:szCs w:val="28"/>
        </w:rPr>
      </w:pPr>
      <w:r w:rsidRPr="00C42B08">
        <w:rPr>
          <w:szCs w:val="28"/>
        </w:rPr>
        <w:t xml:space="preserve">- нормативные правовые акты Российской Федерации, Республики Коми, МО ГО "Сыктывкар"; </w:t>
      </w:r>
    </w:p>
    <w:p w:rsidR="00BB5894" w:rsidRPr="00C42B08" w:rsidRDefault="00BB5894" w:rsidP="00C42B08">
      <w:pPr>
        <w:pStyle w:val="af6"/>
        <w:spacing w:after="0"/>
        <w:ind w:left="0" w:right="0" w:firstLine="567"/>
        <w:jc w:val="both"/>
        <w:rPr>
          <w:szCs w:val="28"/>
        </w:rPr>
      </w:pPr>
      <w:r w:rsidRPr="00C42B08">
        <w:rPr>
          <w:szCs w:val="28"/>
        </w:rPr>
        <w:t>- решение Совета МО ГО "Сыктывкар" О бюджете МО ГО "Сыктывкар</w:t>
      </w:r>
      <w:r w:rsidR="009F145D" w:rsidRPr="00C42B08">
        <w:rPr>
          <w:szCs w:val="28"/>
        </w:rPr>
        <w:t>"</w:t>
      </w:r>
      <w:r w:rsidRPr="00C42B08">
        <w:rPr>
          <w:szCs w:val="28"/>
        </w:rPr>
        <w:t xml:space="preserve"> на отчетный финансовый год (далее – решение о бюджете); </w:t>
      </w:r>
    </w:p>
    <w:p w:rsidR="00A269B0" w:rsidRPr="00C42B08" w:rsidRDefault="00BB5894" w:rsidP="00C42B08">
      <w:pPr>
        <w:pStyle w:val="af6"/>
        <w:spacing w:after="0"/>
        <w:ind w:left="0" w:right="0" w:firstLine="567"/>
        <w:jc w:val="both"/>
        <w:rPr>
          <w:snapToGrid w:val="0"/>
          <w:color w:val="1F497D" w:themeColor="text2"/>
          <w:szCs w:val="28"/>
        </w:rPr>
      </w:pPr>
      <w:r w:rsidRPr="00C42B08">
        <w:rPr>
          <w:szCs w:val="28"/>
        </w:rPr>
        <w:t xml:space="preserve">- годовая бюджетная отчётность </w:t>
      </w:r>
      <w:proofErr w:type="spellStart"/>
      <w:r w:rsidRPr="00C42B08">
        <w:rPr>
          <w:szCs w:val="28"/>
        </w:rPr>
        <w:t>ГАБС</w:t>
      </w:r>
      <w:proofErr w:type="spellEnd"/>
      <w:r w:rsidRPr="00C42B08">
        <w:rPr>
          <w:szCs w:val="28"/>
        </w:rPr>
        <w:t xml:space="preserve">; </w:t>
      </w:r>
    </w:p>
    <w:p w:rsidR="00BB5894" w:rsidRPr="00C42B08" w:rsidRDefault="00BB5894" w:rsidP="00C42B08">
      <w:pPr>
        <w:pStyle w:val="Default"/>
        <w:ind w:firstLine="567"/>
        <w:jc w:val="both"/>
        <w:rPr>
          <w:szCs w:val="28"/>
        </w:rPr>
      </w:pPr>
      <w:r w:rsidRPr="00C42B08">
        <w:rPr>
          <w:szCs w:val="28"/>
        </w:rPr>
        <w:t xml:space="preserve">- годовой отчёт об исполнении муниципального бюджета; </w:t>
      </w:r>
    </w:p>
    <w:p w:rsidR="00BB5894" w:rsidRPr="00C42B08" w:rsidRDefault="00BB5894" w:rsidP="00C42B08">
      <w:pPr>
        <w:pStyle w:val="Default"/>
        <w:ind w:firstLine="567"/>
        <w:jc w:val="both"/>
        <w:rPr>
          <w:szCs w:val="28"/>
        </w:rPr>
      </w:pPr>
      <w:r w:rsidRPr="00C42B08">
        <w:rPr>
          <w:szCs w:val="28"/>
        </w:rPr>
        <w:t xml:space="preserve">- ежемесячные, квартальные отчёты об исполнении </w:t>
      </w:r>
      <w:r w:rsidR="009F145D" w:rsidRPr="00C42B08">
        <w:rPr>
          <w:szCs w:val="28"/>
        </w:rPr>
        <w:t>муниципального</w:t>
      </w:r>
      <w:r w:rsidRPr="00C42B08">
        <w:rPr>
          <w:szCs w:val="28"/>
        </w:rPr>
        <w:t xml:space="preserve"> бюджета</w:t>
      </w:r>
      <w:r w:rsidR="009F145D" w:rsidRPr="00C42B08">
        <w:rPr>
          <w:szCs w:val="28"/>
        </w:rPr>
        <w:t>;</w:t>
      </w:r>
    </w:p>
    <w:p w:rsidR="00BB5894" w:rsidRPr="00C42B08" w:rsidRDefault="00BB5894" w:rsidP="00C42B08">
      <w:pPr>
        <w:pStyle w:val="Default"/>
        <w:ind w:firstLine="567"/>
        <w:jc w:val="both"/>
        <w:rPr>
          <w:szCs w:val="28"/>
        </w:rPr>
      </w:pPr>
      <w:r w:rsidRPr="00C42B08">
        <w:rPr>
          <w:szCs w:val="28"/>
        </w:rPr>
        <w:t xml:space="preserve">- заключения </w:t>
      </w:r>
      <w:r w:rsidR="00C42B08">
        <w:rPr>
          <w:szCs w:val="28"/>
        </w:rPr>
        <w:t>Контрольно-счетной палаты</w:t>
      </w:r>
      <w:r w:rsidR="00C42B08" w:rsidRPr="00C42B08">
        <w:rPr>
          <w:szCs w:val="28"/>
        </w:rPr>
        <w:t xml:space="preserve"> </w:t>
      </w:r>
      <w:r w:rsidRPr="00C42B08">
        <w:rPr>
          <w:szCs w:val="28"/>
        </w:rPr>
        <w:t xml:space="preserve">на отчёты об исполнении </w:t>
      </w:r>
      <w:r w:rsidR="009F145D" w:rsidRPr="00C42B08">
        <w:rPr>
          <w:szCs w:val="28"/>
        </w:rPr>
        <w:t>муниципального</w:t>
      </w:r>
      <w:r w:rsidRPr="00C42B08">
        <w:rPr>
          <w:szCs w:val="28"/>
        </w:rPr>
        <w:t xml:space="preserve"> бюджета за иные отчётные годы</w:t>
      </w:r>
      <w:r w:rsidR="009F145D" w:rsidRPr="00C42B08">
        <w:rPr>
          <w:szCs w:val="28"/>
        </w:rPr>
        <w:t>;</w:t>
      </w:r>
    </w:p>
    <w:p w:rsidR="00BB5894" w:rsidRPr="00C42B08" w:rsidRDefault="009F145D" w:rsidP="00C42B08">
      <w:pPr>
        <w:pStyle w:val="af6"/>
        <w:spacing w:after="0"/>
        <w:ind w:left="0" w:right="0" w:firstLine="567"/>
        <w:jc w:val="both"/>
        <w:rPr>
          <w:snapToGrid w:val="0"/>
          <w:color w:val="1F497D" w:themeColor="text2"/>
          <w:szCs w:val="28"/>
        </w:rPr>
      </w:pPr>
      <w:r w:rsidRPr="00C42B08">
        <w:rPr>
          <w:szCs w:val="28"/>
        </w:rPr>
        <w:t>- </w:t>
      </w:r>
      <w:r w:rsidR="00BB5894" w:rsidRPr="00C42B08">
        <w:rPr>
          <w:szCs w:val="28"/>
        </w:rPr>
        <w:t xml:space="preserve">иная информация и документы, характеризующие исполнение </w:t>
      </w:r>
      <w:r w:rsidRPr="00C42B08">
        <w:rPr>
          <w:szCs w:val="28"/>
        </w:rPr>
        <w:t>муниципального</w:t>
      </w:r>
      <w:r w:rsidR="00BB5894" w:rsidRPr="00C42B08">
        <w:rPr>
          <w:szCs w:val="28"/>
        </w:rPr>
        <w:t xml:space="preserve"> бюджета, в том числе данные оперативного (текущего) контроля хода исполнения </w:t>
      </w:r>
      <w:r w:rsidRPr="00C42B08">
        <w:rPr>
          <w:szCs w:val="28"/>
        </w:rPr>
        <w:t>муниципального</w:t>
      </w:r>
      <w:r w:rsidR="00BB5894" w:rsidRPr="00C42B08">
        <w:rPr>
          <w:szCs w:val="28"/>
        </w:rPr>
        <w:t xml:space="preserve"> бюджета за отчётный период</w:t>
      </w:r>
      <w:r w:rsidRPr="00C42B08">
        <w:rPr>
          <w:szCs w:val="28"/>
        </w:rPr>
        <w:t>.</w:t>
      </w:r>
    </w:p>
    <w:p w:rsidR="00BB5894" w:rsidRPr="00C42B08" w:rsidRDefault="009F145D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 xml:space="preserve">Для дополнительного анализа и формирования выводов </w:t>
      </w:r>
      <w:r w:rsidR="00952246" w:rsidRPr="00C42B08">
        <w:rPr>
          <w:rFonts w:eastAsia="Calibri"/>
          <w:sz w:val="24"/>
          <w:szCs w:val="24"/>
          <w:lang w:eastAsia="en-US"/>
        </w:rPr>
        <w:t>в ходе внешней проверки</w:t>
      </w:r>
      <w:r w:rsidRPr="00C42B08">
        <w:rPr>
          <w:rFonts w:eastAsia="Calibri"/>
          <w:sz w:val="24"/>
          <w:szCs w:val="24"/>
          <w:lang w:eastAsia="en-US"/>
        </w:rPr>
        <w:t xml:space="preserve"> могут направляться запросы в</w:t>
      </w:r>
      <w:r w:rsidR="00952246" w:rsidRPr="00C42B08">
        <w:rPr>
          <w:rFonts w:eastAsia="Calibri"/>
          <w:sz w:val="24"/>
          <w:szCs w:val="24"/>
          <w:lang w:eastAsia="en-US"/>
        </w:rPr>
        <w:t xml:space="preserve"> органы государственной</w:t>
      </w:r>
      <w:r w:rsidR="00E3653B" w:rsidRPr="00C42B08">
        <w:rPr>
          <w:rFonts w:eastAsia="Calibri"/>
          <w:sz w:val="24"/>
          <w:szCs w:val="24"/>
          <w:lang w:eastAsia="en-US"/>
        </w:rPr>
        <w:t xml:space="preserve"> власти, органы местного самоуправления</w:t>
      </w:r>
      <w:r w:rsidRPr="00C42B08">
        <w:rPr>
          <w:rFonts w:eastAsia="Calibri"/>
          <w:sz w:val="24"/>
          <w:szCs w:val="24"/>
          <w:lang w:eastAsia="en-US"/>
        </w:rPr>
        <w:t>, иные учреждения и организации</w:t>
      </w:r>
      <w:r w:rsidR="000456AF" w:rsidRPr="00C42B08">
        <w:rPr>
          <w:rFonts w:eastAsia="Calibri"/>
          <w:sz w:val="24"/>
          <w:szCs w:val="24"/>
          <w:lang w:eastAsia="en-US"/>
        </w:rPr>
        <w:t>.</w:t>
      </w:r>
    </w:p>
    <w:p w:rsidR="00BB5894" w:rsidRPr="00C42B08" w:rsidRDefault="00952246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 xml:space="preserve">Сроки проведения внешней проверки, устанавливаются распоряжением Председателя </w:t>
      </w:r>
      <w:r w:rsidR="00C42B08">
        <w:rPr>
          <w:rFonts w:eastAsia="Calibri"/>
          <w:sz w:val="24"/>
          <w:szCs w:val="24"/>
          <w:lang w:eastAsia="en-US"/>
        </w:rPr>
        <w:t>Контрольно-счетной палаты</w:t>
      </w:r>
      <w:r w:rsidRPr="00C42B08">
        <w:rPr>
          <w:rFonts w:eastAsia="Calibri"/>
          <w:sz w:val="24"/>
          <w:szCs w:val="24"/>
          <w:lang w:eastAsia="en-US"/>
        </w:rPr>
        <w:t xml:space="preserve"> с учётом положений Бюджетного кодекса РФ, Положения о бюджетном процессе в МО ГО "Сыктывкар".</w:t>
      </w:r>
    </w:p>
    <w:p w:rsidR="00952246" w:rsidRPr="00C42B08" w:rsidRDefault="00952246" w:rsidP="00C42B08">
      <w:pPr>
        <w:numPr>
          <w:ilvl w:val="0"/>
          <w:numId w:val="46"/>
        </w:numPr>
        <w:tabs>
          <w:tab w:val="left" w:pos="1134"/>
        </w:tabs>
        <w:suppressAutoHyphens w:val="0"/>
        <w:spacing w:before="120" w:after="120"/>
        <w:ind w:left="714" w:hanging="357"/>
        <w:jc w:val="center"/>
        <w:rPr>
          <w:b/>
          <w:sz w:val="24"/>
          <w:szCs w:val="28"/>
        </w:rPr>
      </w:pPr>
      <w:r w:rsidRPr="00C42B08">
        <w:rPr>
          <w:b/>
          <w:sz w:val="24"/>
          <w:szCs w:val="28"/>
        </w:rPr>
        <w:t xml:space="preserve">Содержание внешней проверки </w:t>
      </w:r>
    </w:p>
    <w:p w:rsidR="000456AF" w:rsidRPr="00C42B08" w:rsidRDefault="000456AF" w:rsidP="00C42B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42B08">
        <w:rPr>
          <w:rFonts w:eastAsia="Calibri"/>
          <w:sz w:val="24"/>
          <w:szCs w:val="24"/>
          <w:lang w:eastAsia="en-US"/>
        </w:rPr>
        <w:t>Анализ бюджетной отчётности, дополнительных документов и материалов к годовому отчёту должен позволить сделать основные выводы о полноте и достоверности бюджетной отчётности, итогах исполнения муниципального бюджета, законности и эффективности деятельности участников бюджетного процесса.</w:t>
      </w:r>
    </w:p>
    <w:p w:rsidR="00952246" w:rsidRPr="00984C1F" w:rsidRDefault="000456AF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 xml:space="preserve">Степень полноты бюджетной отчётности определяется наличием всех предусмотренных порядком её составления форм отчётности, разделов (частей) форм отчётности, граф и строк форм отчётности. </w:t>
      </w:r>
    </w:p>
    <w:p w:rsidR="000456AF" w:rsidRPr="00984C1F" w:rsidRDefault="000456AF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>Степень достоверности бюджетной отчётности определяется наличием в формах отчётности всех предусмотренных порядком её составления числовых, натуральных и иных показателей, соответствием указанных показателей значениям, определённым в соответствии с порядком составления отчётности и ведения учёта.</w:t>
      </w:r>
    </w:p>
    <w:p w:rsidR="00952246" w:rsidRPr="00984C1F" w:rsidRDefault="000456AF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>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 отчётности.</w:t>
      </w:r>
    </w:p>
    <w:p w:rsidR="00952246" w:rsidRPr="00984C1F" w:rsidRDefault="000456AF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 xml:space="preserve">Основное внимание следует уделять </w:t>
      </w:r>
      <w:proofErr w:type="spellStart"/>
      <w:r w:rsidRPr="00984C1F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984C1F">
        <w:rPr>
          <w:rFonts w:eastAsia="Calibri"/>
          <w:sz w:val="24"/>
          <w:szCs w:val="24"/>
          <w:lang w:eastAsia="en-US"/>
        </w:rPr>
        <w:t xml:space="preserve">, у которых сосредоточена основная часть объектов учёта и хозяйственных операций, </w:t>
      </w:r>
      <w:proofErr w:type="gramStart"/>
      <w:r w:rsidRPr="00984C1F">
        <w:rPr>
          <w:rFonts w:eastAsia="Calibri"/>
          <w:sz w:val="24"/>
          <w:szCs w:val="24"/>
          <w:lang w:eastAsia="en-US"/>
        </w:rPr>
        <w:t>наибольшим по стоимостной оценке</w:t>
      </w:r>
      <w:proofErr w:type="gramEnd"/>
      <w:r w:rsidRPr="00984C1F">
        <w:rPr>
          <w:rFonts w:eastAsia="Calibri"/>
          <w:sz w:val="24"/>
          <w:szCs w:val="24"/>
          <w:lang w:eastAsia="en-US"/>
        </w:rPr>
        <w:t xml:space="preserve">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следует учитывать степень влияния показателей деятельности </w:t>
      </w:r>
      <w:proofErr w:type="spellStart"/>
      <w:r w:rsidRPr="00984C1F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984C1F">
        <w:rPr>
          <w:rFonts w:eastAsia="Calibri"/>
          <w:sz w:val="24"/>
          <w:szCs w:val="24"/>
          <w:lang w:eastAsia="en-US"/>
        </w:rPr>
        <w:t xml:space="preserve"> на исполнение </w:t>
      </w:r>
      <w:r w:rsidR="0097540B" w:rsidRPr="00984C1F">
        <w:rPr>
          <w:rFonts w:eastAsia="Calibri"/>
          <w:sz w:val="24"/>
          <w:szCs w:val="24"/>
          <w:lang w:eastAsia="en-US"/>
        </w:rPr>
        <w:t>муниципального</w:t>
      </w:r>
      <w:r w:rsidRPr="00984C1F">
        <w:rPr>
          <w:rFonts w:eastAsia="Calibri"/>
          <w:sz w:val="24"/>
          <w:szCs w:val="24"/>
          <w:lang w:eastAsia="en-US"/>
        </w:rPr>
        <w:t xml:space="preserve"> бюджета или их зависимость от него (приоритет отдаётся показателям, более тесно связанным с исполнением </w:t>
      </w:r>
      <w:r w:rsidR="0097540B" w:rsidRPr="00984C1F">
        <w:rPr>
          <w:rFonts w:eastAsia="Calibri"/>
          <w:sz w:val="24"/>
          <w:szCs w:val="24"/>
          <w:lang w:eastAsia="en-US"/>
        </w:rPr>
        <w:t>муниципального бюджета).</w:t>
      </w:r>
    </w:p>
    <w:p w:rsidR="0097540B" w:rsidRPr="00984C1F" w:rsidRDefault="0097540B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 xml:space="preserve">По итогам оценки полноты и достоверности, соблюдения порядка составления и представления отчётности делаются следующие выводы: </w:t>
      </w:r>
    </w:p>
    <w:p w:rsidR="0097540B" w:rsidRPr="00984C1F" w:rsidRDefault="0097540B" w:rsidP="00984C1F">
      <w:pPr>
        <w:pStyle w:val="Default"/>
        <w:ind w:firstLine="567"/>
        <w:jc w:val="both"/>
      </w:pPr>
      <w:r w:rsidRPr="00984C1F">
        <w:lastRenderedPageBreak/>
        <w:t xml:space="preserve">- о соответствии отчёта об исполнении муниципального бюджета бюджетному законодательству; </w:t>
      </w:r>
    </w:p>
    <w:p w:rsidR="0097540B" w:rsidRPr="00984C1F" w:rsidRDefault="0097540B" w:rsidP="00984C1F">
      <w:pPr>
        <w:pStyle w:val="Default"/>
        <w:ind w:firstLine="567"/>
        <w:jc w:val="both"/>
      </w:pPr>
      <w:r w:rsidRPr="00984C1F">
        <w:t xml:space="preserve">- о соблюдении сроков формирования и представления отчётности; </w:t>
      </w:r>
    </w:p>
    <w:p w:rsidR="0097540B" w:rsidRPr="00984C1F" w:rsidRDefault="0097540B" w:rsidP="00984C1F">
      <w:pPr>
        <w:pStyle w:val="Default"/>
        <w:ind w:firstLine="567"/>
        <w:jc w:val="both"/>
      </w:pPr>
      <w:r w:rsidRPr="00984C1F">
        <w:t xml:space="preserve">- о полноте состава и внутренней согласованности данных отчётности; </w:t>
      </w:r>
    </w:p>
    <w:p w:rsidR="0097540B" w:rsidRPr="00984C1F" w:rsidRDefault="0097540B" w:rsidP="00984C1F">
      <w:pPr>
        <w:pStyle w:val="Default"/>
        <w:ind w:firstLine="567"/>
        <w:jc w:val="both"/>
      </w:pPr>
      <w:r w:rsidRPr="00984C1F">
        <w:t xml:space="preserve">- о соблюдении требований составления бюджетной отчётности, установленных приказами финансового органа; </w:t>
      </w:r>
    </w:p>
    <w:p w:rsidR="0097540B" w:rsidRPr="00984C1F" w:rsidRDefault="0097540B" w:rsidP="00984C1F">
      <w:pPr>
        <w:pStyle w:val="Default"/>
        <w:ind w:firstLine="567"/>
        <w:jc w:val="both"/>
      </w:pPr>
      <w:r w:rsidRPr="00984C1F">
        <w:t xml:space="preserve">- о достоверности бюджетной отчётности; </w:t>
      </w:r>
    </w:p>
    <w:p w:rsidR="0097540B" w:rsidRPr="00984C1F" w:rsidRDefault="0097540B" w:rsidP="00984C1F">
      <w:pPr>
        <w:ind w:firstLine="567"/>
        <w:jc w:val="both"/>
        <w:rPr>
          <w:sz w:val="24"/>
          <w:szCs w:val="24"/>
        </w:rPr>
      </w:pPr>
      <w:r w:rsidRPr="00984C1F">
        <w:rPr>
          <w:sz w:val="24"/>
          <w:szCs w:val="24"/>
        </w:rPr>
        <w:t xml:space="preserve">- о наличии дебиторской задолженности, в том числе просроченной, и причинах ее появления; </w:t>
      </w:r>
    </w:p>
    <w:p w:rsidR="0097540B" w:rsidRPr="00984C1F" w:rsidRDefault="0097540B" w:rsidP="00984C1F">
      <w:pPr>
        <w:ind w:firstLine="567"/>
        <w:jc w:val="both"/>
        <w:rPr>
          <w:sz w:val="24"/>
          <w:szCs w:val="24"/>
        </w:rPr>
      </w:pPr>
      <w:r w:rsidRPr="00984C1F">
        <w:rPr>
          <w:sz w:val="24"/>
          <w:szCs w:val="24"/>
        </w:rPr>
        <w:t>- о проведении мероприятий, установлении проблем и нарушений в ходе инвентаризаций, внутреннего финансового контроля и аудита.</w:t>
      </w:r>
    </w:p>
    <w:p w:rsidR="0097540B" w:rsidRPr="00984C1F" w:rsidRDefault="0097540B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 xml:space="preserve">В ходе проверки организации исполнения </w:t>
      </w:r>
      <w:r w:rsidR="00E3653B" w:rsidRPr="00984C1F">
        <w:rPr>
          <w:rFonts w:eastAsia="Calibri"/>
          <w:sz w:val="24"/>
          <w:szCs w:val="24"/>
          <w:lang w:eastAsia="en-US"/>
        </w:rPr>
        <w:t>муниципального</w:t>
      </w:r>
      <w:r w:rsidRPr="00984C1F">
        <w:rPr>
          <w:rFonts w:eastAsia="Calibri"/>
          <w:sz w:val="24"/>
          <w:szCs w:val="24"/>
          <w:lang w:eastAsia="en-US"/>
        </w:rPr>
        <w:t xml:space="preserve"> бюджета рассматривается полнота выполнения текстовых статей решения о бюджете, соответствие сводной бюджетной росписи решению о бюджете и формируются выводы по вопросам правового обеспечения исполнения муниципального бюджета, состава участников бюджетного процесса. Приоритет отдаётся вопросам соблюдения новых требований законодательства к порядку организации исполнения муниципального бюджета и осуществлению новых (введённых с отчётного года) процедур.</w:t>
      </w:r>
    </w:p>
    <w:p w:rsidR="0097540B" w:rsidRPr="00984C1F" w:rsidRDefault="0097540B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>В ходе проверки исполнения решения о бюджете рассматривается соблюдение (выполнение) бюджетных назначений по доходам, расходам, источникам финансирования дефицита, объёму заимствований, муниципального долга. В зависимости от экономической и правовой природы бюджетных назначений рассматриваться может их соблюдение (</w:t>
      </w:r>
      <w:proofErr w:type="spellStart"/>
      <w:r w:rsidRPr="00984C1F">
        <w:rPr>
          <w:rFonts w:eastAsia="Calibri"/>
          <w:sz w:val="24"/>
          <w:szCs w:val="24"/>
          <w:lang w:eastAsia="en-US"/>
        </w:rPr>
        <w:t>непревышение</w:t>
      </w:r>
      <w:proofErr w:type="spellEnd"/>
      <w:r w:rsidRPr="00984C1F">
        <w:rPr>
          <w:rFonts w:eastAsia="Calibri"/>
          <w:sz w:val="24"/>
          <w:szCs w:val="24"/>
          <w:lang w:eastAsia="en-US"/>
        </w:rPr>
        <w:t>) и (или) достижение (выполнение).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проведённых мероприятий была получена информация о причинах и последствиях неисполнения бюджетных назначений.</w:t>
      </w:r>
    </w:p>
    <w:p w:rsidR="0097540B" w:rsidRPr="00984C1F" w:rsidRDefault="0097540B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>При анализе отдельных поступлений в муниципальный бюджет или выплат из муниципального бюджета (видов финансовых активов и обязательств) приоритет отдаётся тем аспектам, которые оказывают существенное влияние на достоверность бюджетной отчётности или полноту исполнения бюджетных назначений. Контроль по отдельным направлениям может осуществляться для проверки устранения в отчётном финансовом году нарушений и недостатков, установленных ранее, а также оценка необходимости проведения отдельного контрольного или экспертно-аналитического мероприятия по соответствующему вопросу</w:t>
      </w:r>
      <w:r w:rsidR="00F91414" w:rsidRPr="00984C1F">
        <w:rPr>
          <w:rFonts w:eastAsia="Calibri"/>
          <w:sz w:val="24"/>
          <w:szCs w:val="24"/>
          <w:lang w:eastAsia="en-US"/>
        </w:rPr>
        <w:t>.</w:t>
      </w:r>
    </w:p>
    <w:p w:rsidR="00F91414" w:rsidRPr="00984C1F" w:rsidRDefault="00F91414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>Информация о нарушениях и недостатках, выявленных в ходе внешней проверки, анализируется и обобщается. При необходимости готовятся предложения по совершенствованию исполнения муниципального бюджета, использованию имущества, ведению бюджетного учёта и составлению бюджетной отчётности.</w:t>
      </w:r>
    </w:p>
    <w:p w:rsidR="0097540B" w:rsidRPr="00984C1F" w:rsidRDefault="00F91414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>Конкретный набор вопросов проведения внешней проверки определяется её участниками исходя из сроков проведения, значимости и существенности ожидаемых выводов, содержания и особенностей исполнения решения о бюджете, возможности использования полученных результатов в ходе других контрольных и экспертно-аналитических мероприятий.</w:t>
      </w:r>
    </w:p>
    <w:p w:rsidR="0097540B" w:rsidRPr="00984C1F" w:rsidRDefault="00F91414" w:rsidP="00984C1F">
      <w:pPr>
        <w:numPr>
          <w:ilvl w:val="0"/>
          <w:numId w:val="46"/>
        </w:numPr>
        <w:tabs>
          <w:tab w:val="left" w:pos="1134"/>
        </w:tabs>
        <w:suppressAutoHyphens w:val="0"/>
        <w:spacing w:before="120" w:after="120"/>
        <w:ind w:left="714" w:hanging="357"/>
        <w:jc w:val="center"/>
        <w:rPr>
          <w:b/>
          <w:sz w:val="24"/>
          <w:szCs w:val="28"/>
        </w:rPr>
      </w:pPr>
      <w:r w:rsidRPr="00984C1F">
        <w:rPr>
          <w:b/>
          <w:sz w:val="24"/>
          <w:szCs w:val="28"/>
        </w:rPr>
        <w:t xml:space="preserve">Организация внешней проверки </w:t>
      </w:r>
    </w:p>
    <w:p w:rsidR="0097540B" w:rsidRPr="00984C1F" w:rsidRDefault="00F91414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 xml:space="preserve">Внешняя проверки годового отчёта об исполнении муниципального бюджета и бюджетной отчётности </w:t>
      </w:r>
      <w:proofErr w:type="spellStart"/>
      <w:r w:rsidRPr="00984C1F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984C1F">
        <w:rPr>
          <w:rFonts w:eastAsia="Calibri"/>
          <w:sz w:val="24"/>
          <w:szCs w:val="24"/>
          <w:lang w:eastAsia="en-US"/>
        </w:rPr>
        <w:t xml:space="preserve"> включается в годовой план работы </w:t>
      </w:r>
      <w:r w:rsidR="00984C1F" w:rsidRPr="00984C1F">
        <w:rPr>
          <w:rFonts w:eastAsia="Calibri"/>
          <w:sz w:val="24"/>
          <w:szCs w:val="24"/>
          <w:lang w:eastAsia="en-US"/>
        </w:rPr>
        <w:t>Контрольно-счетной палаты</w:t>
      </w:r>
      <w:r w:rsidRPr="00984C1F">
        <w:rPr>
          <w:rFonts w:eastAsia="Calibri"/>
          <w:sz w:val="24"/>
          <w:szCs w:val="24"/>
          <w:lang w:eastAsia="en-US"/>
        </w:rPr>
        <w:t xml:space="preserve"> на основании положений Бюджетного кодекса РФ, Положения о бюджетном процессе в МО ГО "Сыктывкар", Положения о Контрольно-счетной палате МО ГО "Сыктывкар".</w:t>
      </w:r>
    </w:p>
    <w:p w:rsidR="000C428D" w:rsidRPr="00984C1F" w:rsidRDefault="000C428D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 xml:space="preserve">Ответственным за проведение внешней проверки является должностное лицо, определённое распоряжением Председателя </w:t>
      </w:r>
      <w:r w:rsidR="00984C1F">
        <w:rPr>
          <w:rFonts w:eastAsia="Calibri"/>
          <w:sz w:val="24"/>
          <w:szCs w:val="24"/>
          <w:lang w:eastAsia="en-US"/>
        </w:rPr>
        <w:t>Контрольно-счетной палаты</w:t>
      </w:r>
      <w:r w:rsidRPr="00984C1F">
        <w:rPr>
          <w:rFonts w:eastAsia="Calibri"/>
          <w:sz w:val="24"/>
          <w:szCs w:val="24"/>
          <w:lang w:eastAsia="en-US"/>
        </w:rPr>
        <w:t>.</w:t>
      </w:r>
    </w:p>
    <w:p w:rsidR="000C428D" w:rsidRPr="00984C1F" w:rsidRDefault="000C428D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 xml:space="preserve">Организация внешней проверки осуществляется, исходя из установленных законодательством этапов и сроков бюджетного процесса в части формирования отчёта об исполнении муниципального бюджета за отчётный финансовый год, и предусматривает следующие три основные этапа: </w:t>
      </w:r>
    </w:p>
    <w:p w:rsidR="000C428D" w:rsidRPr="00984C1F" w:rsidRDefault="000C428D" w:rsidP="00984C1F">
      <w:pPr>
        <w:pStyle w:val="1"/>
        <w:keepNext w:val="0"/>
        <w:widowControl w:val="0"/>
        <w:numPr>
          <w:ilvl w:val="0"/>
          <w:numId w:val="0"/>
        </w:numPr>
        <w:tabs>
          <w:tab w:val="left" w:pos="1276"/>
        </w:tabs>
        <w:suppressAutoHyphens w:val="0"/>
        <w:ind w:left="567"/>
        <w:rPr>
          <w:sz w:val="24"/>
        </w:rPr>
      </w:pPr>
      <w:r w:rsidRPr="00984C1F">
        <w:rPr>
          <w:sz w:val="24"/>
        </w:rPr>
        <w:t>- подготовительный этап;</w:t>
      </w:r>
    </w:p>
    <w:p w:rsidR="000C428D" w:rsidRPr="00984C1F" w:rsidRDefault="000C428D" w:rsidP="00984C1F">
      <w:pPr>
        <w:pStyle w:val="1"/>
        <w:keepNext w:val="0"/>
        <w:widowControl w:val="0"/>
        <w:numPr>
          <w:ilvl w:val="0"/>
          <w:numId w:val="0"/>
        </w:numPr>
        <w:tabs>
          <w:tab w:val="left" w:pos="1276"/>
        </w:tabs>
        <w:suppressAutoHyphens w:val="0"/>
        <w:ind w:left="567"/>
        <w:rPr>
          <w:sz w:val="24"/>
        </w:rPr>
      </w:pPr>
      <w:r w:rsidRPr="00984C1F">
        <w:rPr>
          <w:sz w:val="24"/>
        </w:rPr>
        <w:t>- основной этап;</w:t>
      </w:r>
    </w:p>
    <w:p w:rsidR="0097540B" w:rsidRPr="00984C1F" w:rsidRDefault="000C428D" w:rsidP="00984C1F">
      <w:pPr>
        <w:pStyle w:val="1"/>
        <w:keepNext w:val="0"/>
        <w:widowControl w:val="0"/>
        <w:numPr>
          <w:ilvl w:val="0"/>
          <w:numId w:val="0"/>
        </w:numPr>
        <w:tabs>
          <w:tab w:val="left" w:pos="1276"/>
        </w:tabs>
        <w:suppressAutoHyphens w:val="0"/>
        <w:ind w:left="567"/>
        <w:rPr>
          <w:sz w:val="24"/>
        </w:rPr>
      </w:pPr>
      <w:r w:rsidRPr="00984C1F">
        <w:rPr>
          <w:sz w:val="24"/>
        </w:rPr>
        <w:t>- заключительный этап.</w:t>
      </w:r>
    </w:p>
    <w:p w:rsidR="00FE276E" w:rsidRPr="00984C1F" w:rsidRDefault="00FE276E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lastRenderedPageBreak/>
        <w:t>На подготовительном этапе внешней проверки изучается содержание следующих документов:</w:t>
      </w:r>
    </w:p>
    <w:p w:rsidR="00FE276E" w:rsidRPr="00D40823" w:rsidRDefault="00FE276E" w:rsidP="00D40823">
      <w:pPr>
        <w:pStyle w:val="Default"/>
        <w:ind w:firstLine="567"/>
        <w:rPr>
          <w:szCs w:val="28"/>
        </w:rPr>
      </w:pPr>
      <w:r w:rsidRPr="00D40823">
        <w:rPr>
          <w:szCs w:val="28"/>
        </w:rPr>
        <w:t xml:space="preserve">- решения о муниципальном бюджете за отчётный финансовый год; </w:t>
      </w:r>
    </w:p>
    <w:p w:rsidR="00FE276E" w:rsidRPr="00D40823" w:rsidRDefault="00FE276E" w:rsidP="00D40823">
      <w:pPr>
        <w:pStyle w:val="Default"/>
        <w:ind w:firstLine="567"/>
        <w:jc w:val="both"/>
        <w:rPr>
          <w:szCs w:val="28"/>
        </w:rPr>
      </w:pPr>
      <w:r w:rsidRPr="00D40823">
        <w:rPr>
          <w:szCs w:val="28"/>
        </w:rPr>
        <w:t>- нормативных правовых актов и иных докумен</w:t>
      </w:r>
      <w:r w:rsidR="004459D0" w:rsidRPr="00D40823">
        <w:rPr>
          <w:szCs w:val="28"/>
        </w:rPr>
        <w:t>тов, устанавливающих требования и регламентирующих процесс</w:t>
      </w:r>
      <w:r w:rsidRPr="00D40823">
        <w:rPr>
          <w:szCs w:val="28"/>
        </w:rPr>
        <w:t xml:space="preserve"> организации и исполнения муниципального бюджета в отчётном финансовом году, формированию и предоставлению годового отчёта и бюджетной отчётности; </w:t>
      </w:r>
    </w:p>
    <w:p w:rsidR="00FE276E" w:rsidRPr="00D40823" w:rsidRDefault="00FE276E" w:rsidP="00D40823">
      <w:pPr>
        <w:pStyle w:val="Default"/>
        <w:ind w:firstLine="567"/>
        <w:jc w:val="both"/>
        <w:rPr>
          <w:szCs w:val="28"/>
        </w:rPr>
      </w:pPr>
      <w:r w:rsidRPr="00D40823">
        <w:rPr>
          <w:szCs w:val="28"/>
        </w:rPr>
        <w:t xml:space="preserve">На данном этапе осуществляется также: </w:t>
      </w:r>
    </w:p>
    <w:p w:rsidR="00FE276E" w:rsidRPr="00D40823" w:rsidRDefault="004459D0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</w:rPr>
      </w:pPr>
      <w:r w:rsidRPr="00D40823">
        <w:rPr>
          <w:sz w:val="24"/>
          <w:szCs w:val="28"/>
        </w:rPr>
        <w:t>- </w:t>
      </w:r>
      <w:r w:rsidR="00FE276E" w:rsidRPr="00D40823">
        <w:rPr>
          <w:sz w:val="24"/>
        </w:rPr>
        <w:t xml:space="preserve">анализ информации по вопросам изменений </w:t>
      </w:r>
      <w:r w:rsidRPr="00D40823">
        <w:rPr>
          <w:sz w:val="24"/>
        </w:rPr>
        <w:t>муниципального</w:t>
      </w:r>
      <w:r w:rsidR="00FE276E" w:rsidRPr="00D40823">
        <w:rPr>
          <w:sz w:val="24"/>
        </w:rPr>
        <w:t xml:space="preserve"> бюджета в отчётном периоде, исполнения </w:t>
      </w:r>
      <w:r w:rsidRPr="00D40823">
        <w:rPr>
          <w:sz w:val="24"/>
        </w:rPr>
        <w:t>муниципального</w:t>
      </w:r>
      <w:r w:rsidR="00FE276E" w:rsidRPr="00D40823">
        <w:rPr>
          <w:sz w:val="24"/>
        </w:rPr>
        <w:t xml:space="preserve"> бюд</w:t>
      </w:r>
      <w:r w:rsidRPr="00D40823">
        <w:rPr>
          <w:sz w:val="24"/>
        </w:rPr>
        <w:t>жета за отчётный финансовый год</w:t>
      </w:r>
      <w:r w:rsidR="00FE276E" w:rsidRPr="00D40823">
        <w:rPr>
          <w:sz w:val="24"/>
        </w:rPr>
        <w:t xml:space="preserve">; </w:t>
      </w:r>
    </w:p>
    <w:p w:rsidR="00FE276E" w:rsidRPr="00D40823" w:rsidRDefault="005E6D4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</w:rPr>
      </w:pPr>
      <w:r w:rsidRPr="00D40823">
        <w:rPr>
          <w:sz w:val="24"/>
        </w:rPr>
        <w:t>- подготовка запросов информации необходимой для проведения анализа бюджетной отчетности, в том числе</w:t>
      </w:r>
      <w:r w:rsidR="00FE276E" w:rsidRPr="00D40823">
        <w:rPr>
          <w:sz w:val="24"/>
        </w:rPr>
        <w:t xml:space="preserve"> анализа дебиторской задолженности; </w:t>
      </w:r>
    </w:p>
    <w:p w:rsidR="005E6D41" w:rsidRPr="00D40823" w:rsidRDefault="005E6D41" w:rsidP="00D40823">
      <w:pPr>
        <w:pStyle w:val="af6"/>
        <w:spacing w:after="0"/>
        <w:ind w:left="0" w:right="0" w:firstLine="567"/>
        <w:jc w:val="both"/>
        <w:rPr>
          <w:snapToGrid w:val="0"/>
          <w:szCs w:val="28"/>
        </w:rPr>
      </w:pPr>
      <w:r w:rsidRPr="00D40823">
        <w:rPr>
          <w:snapToGrid w:val="0"/>
          <w:szCs w:val="28"/>
        </w:rPr>
        <w:t>- подготовка программы внешней проверки;</w:t>
      </w:r>
    </w:p>
    <w:p w:rsidR="00FE276E" w:rsidRPr="00D40823" w:rsidRDefault="005E6D4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</w:rPr>
      </w:pPr>
      <w:r w:rsidRPr="00D40823">
        <w:rPr>
          <w:sz w:val="24"/>
        </w:rPr>
        <w:t>- </w:t>
      </w:r>
      <w:r w:rsidR="00FE276E" w:rsidRPr="00D40823">
        <w:rPr>
          <w:sz w:val="24"/>
        </w:rPr>
        <w:t xml:space="preserve">оформление распоряжения Председателя на проведение </w:t>
      </w:r>
      <w:r w:rsidRPr="00D40823">
        <w:rPr>
          <w:sz w:val="24"/>
        </w:rPr>
        <w:t>внешней проверки</w:t>
      </w:r>
      <w:r w:rsidR="00FE276E" w:rsidRPr="00D40823">
        <w:rPr>
          <w:sz w:val="24"/>
        </w:rPr>
        <w:t>.</w:t>
      </w:r>
    </w:p>
    <w:p w:rsidR="005E6D41" w:rsidRPr="00984C1F" w:rsidRDefault="005E6D41" w:rsidP="00984C1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4C1F">
        <w:rPr>
          <w:rFonts w:eastAsia="Calibri"/>
          <w:sz w:val="24"/>
          <w:szCs w:val="24"/>
          <w:lang w:eastAsia="en-US"/>
        </w:rPr>
        <w:t xml:space="preserve">В ходе основного этапа внешней проверки осуществляются: </w:t>
      </w:r>
    </w:p>
    <w:p w:rsidR="005E6D41" w:rsidRPr="00D40823" w:rsidRDefault="005E6D4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</w:rPr>
      </w:pPr>
      <w:r w:rsidRPr="00D40823">
        <w:rPr>
          <w:sz w:val="24"/>
        </w:rPr>
        <w:t xml:space="preserve">- анализ годовой бюджетной отчётности </w:t>
      </w:r>
      <w:proofErr w:type="spellStart"/>
      <w:r w:rsidRPr="00D40823">
        <w:rPr>
          <w:sz w:val="24"/>
        </w:rPr>
        <w:t>ГАБС</w:t>
      </w:r>
      <w:proofErr w:type="spellEnd"/>
      <w:r w:rsidRPr="00D40823">
        <w:rPr>
          <w:sz w:val="24"/>
        </w:rPr>
        <w:t>;</w:t>
      </w:r>
    </w:p>
    <w:p w:rsidR="005E6D41" w:rsidRPr="00D40823" w:rsidRDefault="005E6D4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</w:rPr>
      </w:pPr>
      <w:r w:rsidRPr="00D40823">
        <w:rPr>
          <w:sz w:val="24"/>
        </w:rPr>
        <w:t xml:space="preserve">- анализ дебиторской задолженности, выявление причин появления просроченной дебиторской задолженности </w:t>
      </w:r>
      <w:proofErr w:type="spellStart"/>
      <w:r w:rsidRPr="00D40823">
        <w:rPr>
          <w:sz w:val="24"/>
        </w:rPr>
        <w:t>ГАБС</w:t>
      </w:r>
      <w:proofErr w:type="spellEnd"/>
      <w:r w:rsidRPr="00D40823">
        <w:rPr>
          <w:sz w:val="24"/>
        </w:rPr>
        <w:t>;</w:t>
      </w:r>
    </w:p>
    <w:p w:rsidR="005E6D41" w:rsidRPr="00D40823" w:rsidRDefault="005E6D4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</w:rPr>
      </w:pPr>
      <w:r w:rsidRPr="00D40823">
        <w:rPr>
          <w:sz w:val="24"/>
        </w:rPr>
        <w:t>- проверка, анализ и оценка обоснованности основных показателей годового отчёта об исполнении муниципального бюджета.</w:t>
      </w:r>
    </w:p>
    <w:p w:rsidR="005E6D41" w:rsidRPr="00D40823" w:rsidRDefault="005E6D4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</w:rPr>
      </w:pPr>
      <w:r w:rsidRPr="00D40823">
        <w:rPr>
          <w:sz w:val="24"/>
        </w:rPr>
        <w:t>В случае необходимости проводятся выборочные проверки достоверности данных бюджетной отчетности с выходом на объект проверки.</w:t>
      </w:r>
    </w:p>
    <w:p w:rsidR="005E6D41" w:rsidRPr="00D40823" w:rsidRDefault="005E6D4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</w:rPr>
      </w:pPr>
      <w:r w:rsidRPr="00D40823">
        <w:rPr>
          <w:sz w:val="24"/>
        </w:rPr>
        <w:t xml:space="preserve">Результатом проведения данного этапа являются заключения, оформленные по каждому </w:t>
      </w:r>
      <w:proofErr w:type="spellStart"/>
      <w:r w:rsidRPr="00D40823">
        <w:rPr>
          <w:sz w:val="24"/>
        </w:rPr>
        <w:t>ГАБС</w:t>
      </w:r>
      <w:proofErr w:type="spellEnd"/>
      <w:r w:rsidRPr="00D40823">
        <w:rPr>
          <w:sz w:val="24"/>
        </w:rPr>
        <w:t>.</w:t>
      </w:r>
    </w:p>
    <w:p w:rsidR="005E6D41" w:rsidRPr="00D40823" w:rsidRDefault="005E6D41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 xml:space="preserve">На заключительном этапе внешней проверки осуществляется подготовка заключения </w:t>
      </w:r>
      <w:r w:rsidR="00D40823">
        <w:rPr>
          <w:rFonts w:eastAsia="Calibri"/>
          <w:sz w:val="24"/>
          <w:szCs w:val="24"/>
          <w:lang w:eastAsia="en-US"/>
        </w:rPr>
        <w:t>Контрольно-счетной палаты</w:t>
      </w:r>
      <w:r w:rsidR="00D40823" w:rsidRPr="00D40823">
        <w:rPr>
          <w:rFonts w:eastAsia="Calibri"/>
          <w:sz w:val="24"/>
          <w:szCs w:val="24"/>
          <w:lang w:eastAsia="en-US"/>
        </w:rPr>
        <w:t xml:space="preserve"> </w:t>
      </w:r>
      <w:r w:rsidR="007C4C68" w:rsidRPr="00D40823">
        <w:rPr>
          <w:rFonts w:eastAsia="Calibri"/>
          <w:sz w:val="24"/>
          <w:szCs w:val="24"/>
          <w:lang w:eastAsia="en-US"/>
        </w:rPr>
        <w:t xml:space="preserve">на годовой отчет об исполнении бюджета </w:t>
      </w:r>
      <w:r w:rsidRPr="00D40823">
        <w:rPr>
          <w:rFonts w:eastAsia="Calibri"/>
          <w:sz w:val="24"/>
          <w:szCs w:val="24"/>
          <w:lang w:eastAsia="en-US"/>
        </w:rPr>
        <w:t xml:space="preserve">с учётом результатов проверки годовой бюджетной отчётности </w:t>
      </w:r>
      <w:proofErr w:type="spellStart"/>
      <w:r w:rsidRPr="00D40823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D40823">
        <w:rPr>
          <w:rFonts w:eastAsia="Calibri"/>
          <w:sz w:val="24"/>
          <w:szCs w:val="24"/>
          <w:lang w:eastAsia="en-US"/>
        </w:rPr>
        <w:t xml:space="preserve">, направление его в Совет </w:t>
      </w:r>
      <w:r w:rsidR="007C4C68" w:rsidRPr="00D40823">
        <w:rPr>
          <w:rFonts w:eastAsia="Calibri"/>
          <w:sz w:val="24"/>
          <w:szCs w:val="24"/>
          <w:lang w:eastAsia="en-US"/>
        </w:rPr>
        <w:t>МО ГО "Сыктывкар"</w:t>
      </w:r>
      <w:r w:rsidRPr="00D40823">
        <w:rPr>
          <w:rFonts w:eastAsia="Calibri"/>
          <w:sz w:val="24"/>
          <w:szCs w:val="24"/>
          <w:lang w:eastAsia="en-US"/>
        </w:rPr>
        <w:t xml:space="preserve"> и </w:t>
      </w:r>
      <w:r w:rsidR="007C4C68" w:rsidRPr="00D40823">
        <w:rPr>
          <w:rFonts w:eastAsia="Calibri"/>
          <w:sz w:val="24"/>
          <w:szCs w:val="24"/>
          <w:lang w:eastAsia="en-US"/>
        </w:rPr>
        <w:t>Администрацию МО ГО "Сыктывкар".</w:t>
      </w:r>
    </w:p>
    <w:p w:rsidR="007C4C68" w:rsidRPr="00D40823" w:rsidRDefault="007C4C68" w:rsidP="00D40823">
      <w:pPr>
        <w:numPr>
          <w:ilvl w:val="0"/>
          <w:numId w:val="46"/>
        </w:numPr>
        <w:tabs>
          <w:tab w:val="left" w:pos="1134"/>
        </w:tabs>
        <w:suppressAutoHyphens w:val="0"/>
        <w:spacing w:before="120" w:after="120"/>
        <w:ind w:left="714" w:hanging="357"/>
        <w:jc w:val="center"/>
        <w:rPr>
          <w:b/>
          <w:sz w:val="24"/>
          <w:szCs w:val="28"/>
        </w:rPr>
      </w:pPr>
      <w:r w:rsidRPr="00D40823">
        <w:rPr>
          <w:b/>
          <w:sz w:val="24"/>
          <w:szCs w:val="28"/>
        </w:rPr>
        <w:t xml:space="preserve">Подготовка заключения по результатам внешней проверки </w:t>
      </w:r>
    </w:p>
    <w:p w:rsidR="007C4C68" w:rsidRPr="00D40823" w:rsidRDefault="007C4C68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 xml:space="preserve">Подготовка заключения </w:t>
      </w:r>
      <w:r w:rsidR="00D40823" w:rsidRPr="00D40823">
        <w:rPr>
          <w:rFonts w:eastAsia="Calibri"/>
          <w:sz w:val="24"/>
          <w:szCs w:val="24"/>
          <w:lang w:eastAsia="en-US"/>
        </w:rPr>
        <w:t xml:space="preserve">Контрольно-счетной палаты </w:t>
      </w:r>
      <w:r w:rsidRPr="00D40823">
        <w:rPr>
          <w:rFonts w:eastAsia="Calibri"/>
          <w:sz w:val="24"/>
          <w:szCs w:val="24"/>
          <w:lang w:eastAsia="en-US"/>
        </w:rPr>
        <w:t xml:space="preserve">на годовой отчёт об исполнении муниципального бюджета осуществляется в сроки, установленные </w:t>
      </w:r>
      <w:r w:rsidR="00D40823" w:rsidRPr="00D40823">
        <w:rPr>
          <w:rFonts w:eastAsia="Calibri"/>
          <w:sz w:val="24"/>
          <w:szCs w:val="24"/>
          <w:lang w:eastAsia="en-US"/>
        </w:rPr>
        <w:t xml:space="preserve">Контрольно-счетной палатой </w:t>
      </w:r>
      <w:r w:rsidRPr="00D40823">
        <w:rPr>
          <w:rFonts w:eastAsia="Calibri"/>
          <w:sz w:val="24"/>
          <w:szCs w:val="24"/>
          <w:lang w:eastAsia="en-US"/>
        </w:rPr>
        <w:t>в соответствии с требованиями бюджетного законодательства.</w:t>
      </w:r>
    </w:p>
    <w:p w:rsidR="008E5AAE" w:rsidRPr="00D40823" w:rsidRDefault="008E5AAE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 xml:space="preserve">Структура заключения по результатам внешней проверки </w:t>
      </w:r>
      <w:r w:rsidR="00747F3E" w:rsidRPr="00D40823">
        <w:rPr>
          <w:rFonts w:eastAsia="Calibri"/>
          <w:sz w:val="24"/>
          <w:szCs w:val="24"/>
          <w:lang w:eastAsia="en-US"/>
        </w:rPr>
        <w:t xml:space="preserve">бюджетной отчётности </w:t>
      </w:r>
      <w:proofErr w:type="spellStart"/>
      <w:r w:rsidR="00747F3E" w:rsidRPr="00D40823">
        <w:rPr>
          <w:rFonts w:eastAsia="Calibri"/>
          <w:sz w:val="24"/>
          <w:szCs w:val="24"/>
          <w:lang w:eastAsia="en-US"/>
        </w:rPr>
        <w:t>ГАБС</w:t>
      </w:r>
      <w:proofErr w:type="spellEnd"/>
      <w:r w:rsidR="00747F3E" w:rsidRPr="00D40823">
        <w:rPr>
          <w:rFonts w:eastAsia="Calibri"/>
          <w:sz w:val="24"/>
          <w:szCs w:val="24"/>
          <w:lang w:eastAsia="en-US"/>
        </w:rPr>
        <w:t xml:space="preserve"> </w:t>
      </w:r>
      <w:r w:rsidRPr="00D40823">
        <w:rPr>
          <w:rFonts w:eastAsia="Calibri"/>
          <w:sz w:val="24"/>
          <w:szCs w:val="24"/>
          <w:lang w:eastAsia="en-US"/>
        </w:rPr>
        <w:t>включает в себя следующие основные разделы:</w:t>
      </w:r>
    </w:p>
    <w:p w:rsidR="008E5AAE" w:rsidRPr="00D40823" w:rsidRDefault="00747F3E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  <w:szCs w:val="28"/>
        </w:rPr>
      </w:pPr>
      <w:r w:rsidRPr="00D40823">
        <w:rPr>
          <w:sz w:val="24"/>
          <w:szCs w:val="28"/>
        </w:rPr>
        <w:t>- </w:t>
      </w:r>
      <w:r w:rsidR="008E5AAE" w:rsidRPr="00D40823">
        <w:rPr>
          <w:sz w:val="24"/>
          <w:szCs w:val="28"/>
        </w:rPr>
        <w:t>общие положения</w:t>
      </w:r>
      <w:r w:rsidRPr="00D40823">
        <w:rPr>
          <w:sz w:val="24"/>
          <w:szCs w:val="28"/>
        </w:rPr>
        <w:t xml:space="preserve"> (</w:t>
      </w:r>
      <w:r w:rsidR="008E5AAE" w:rsidRPr="00D40823">
        <w:rPr>
          <w:sz w:val="24"/>
          <w:szCs w:val="28"/>
        </w:rPr>
        <w:t>основания, цели</w:t>
      </w:r>
      <w:r w:rsidRPr="00D40823">
        <w:rPr>
          <w:sz w:val="24"/>
          <w:szCs w:val="28"/>
        </w:rPr>
        <w:t>, объект, предмет проверки</w:t>
      </w:r>
      <w:r w:rsidR="00470391" w:rsidRPr="00D40823">
        <w:rPr>
          <w:sz w:val="24"/>
          <w:szCs w:val="28"/>
        </w:rPr>
        <w:t>);</w:t>
      </w:r>
    </w:p>
    <w:p w:rsidR="008E5AAE" w:rsidRPr="00D40823" w:rsidRDefault="00747F3E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  <w:szCs w:val="28"/>
        </w:rPr>
      </w:pPr>
      <w:r w:rsidRPr="00D40823">
        <w:rPr>
          <w:sz w:val="24"/>
          <w:szCs w:val="28"/>
        </w:rPr>
        <w:t>- </w:t>
      </w:r>
      <w:r w:rsidR="00470391" w:rsidRPr="00D40823">
        <w:rPr>
          <w:sz w:val="24"/>
          <w:szCs w:val="28"/>
        </w:rPr>
        <w:t>соблюдение требований к представлению годовой отчетности</w:t>
      </w:r>
      <w:r w:rsidRPr="00D40823">
        <w:rPr>
          <w:sz w:val="24"/>
          <w:szCs w:val="28"/>
        </w:rPr>
        <w:t>;</w:t>
      </w:r>
    </w:p>
    <w:p w:rsidR="00470391" w:rsidRPr="00D40823" w:rsidRDefault="0047039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  <w:szCs w:val="28"/>
        </w:rPr>
      </w:pPr>
      <w:r w:rsidRPr="00D40823">
        <w:rPr>
          <w:sz w:val="24"/>
          <w:szCs w:val="28"/>
        </w:rPr>
        <w:t>- анализ исполнения плановых назначений по доходам;</w:t>
      </w:r>
    </w:p>
    <w:p w:rsidR="00470391" w:rsidRPr="00D40823" w:rsidRDefault="0047039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  <w:szCs w:val="28"/>
        </w:rPr>
      </w:pPr>
      <w:r w:rsidRPr="00D40823">
        <w:rPr>
          <w:sz w:val="24"/>
          <w:szCs w:val="28"/>
        </w:rPr>
        <w:t>- оценка исполнения расходной части;</w:t>
      </w:r>
    </w:p>
    <w:p w:rsidR="00470391" w:rsidRPr="00D40823" w:rsidRDefault="0047039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  <w:szCs w:val="28"/>
        </w:rPr>
      </w:pPr>
      <w:r w:rsidRPr="00D40823">
        <w:rPr>
          <w:sz w:val="24"/>
          <w:szCs w:val="28"/>
        </w:rPr>
        <w:t>- полнота составления пояснительной записки;</w:t>
      </w:r>
    </w:p>
    <w:p w:rsidR="008E5AAE" w:rsidRPr="00D40823" w:rsidRDefault="00470391" w:rsidP="00D40823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567"/>
        <w:rPr>
          <w:sz w:val="24"/>
          <w:szCs w:val="28"/>
        </w:rPr>
      </w:pPr>
      <w:r w:rsidRPr="00D40823">
        <w:rPr>
          <w:sz w:val="24"/>
          <w:szCs w:val="28"/>
        </w:rPr>
        <w:t xml:space="preserve">- анализ кредиторской и дебиторской задолженности, в том числе </w:t>
      </w:r>
      <w:r w:rsidR="008E5AAE" w:rsidRPr="00D40823">
        <w:rPr>
          <w:sz w:val="24"/>
          <w:szCs w:val="28"/>
        </w:rPr>
        <w:t>описание причин появления просроченной дебиторской задолженности, рекомендации по погашению дебиторской задолженности</w:t>
      </w:r>
      <w:r w:rsidR="00247A41" w:rsidRPr="00D40823">
        <w:rPr>
          <w:sz w:val="24"/>
          <w:szCs w:val="28"/>
        </w:rPr>
        <w:t>.</w:t>
      </w:r>
    </w:p>
    <w:p w:rsidR="007C4C68" w:rsidRPr="00D40823" w:rsidRDefault="00247A41" w:rsidP="00247A41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napToGrid w:val="0"/>
          <w:color w:val="1F497D" w:themeColor="text2"/>
          <w:sz w:val="24"/>
          <w:szCs w:val="28"/>
        </w:rPr>
      </w:pPr>
      <w:r w:rsidRPr="00D40823">
        <w:rPr>
          <w:sz w:val="24"/>
          <w:szCs w:val="28"/>
        </w:rPr>
        <w:t xml:space="preserve">Также рассматриваются </w:t>
      </w:r>
      <w:r w:rsidR="008E5AAE" w:rsidRPr="00D40823">
        <w:rPr>
          <w:sz w:val="24"/>
          <w:szCs w:val="28"/>
        </w:rPr>
        <w:t xml:space="preserve">прочие вопросы деятельности субъекта бюджетной отчётности (в том числе мероприятия </w:t>
      </w:r>
      <w:r w:rsidRPr="00D40823">
        <w:rPr>
          <w:sz w:val="24"/>
          <w:szCs w:val="28"/>
        </w:rPr>
        <w:t xml:space="preserve">по организации </w:t>
      </w:r>
      <w:r w:rsidR="008E5AAE" w:rsidRPr="00D40823">
        <w:rPr>
          <w:sz w:val="24"/>
          <w:szCs w:val="28"/>
        </w:rPr>
        <w:t>внутреннего</w:t>
      </w:r>
      <w:r w:rsidRPr="00D40823">
        <w:rPr>
          <w:sz w:val="24"/>
          <w:szCs w:val="28"/>
        </w:rPr>
        <w:t xml:space="preserve"> аудита, </w:t>
      </w:r>
      <w:r w:rsidR="008E5AAE" w:rsidRPr="00D40823">
        <w:rPr>
          <w:sz w:val="24"/>
          <w:szCs w:val="28"/>
        </w:rPr>
        <w:t xml:space="preserve">меры по устранению </w:t>
      </w:r>
      <w:r w:rsidRPr="00D40823">
        <w:rPr>
          <w:sz w:val="24"/>
          <w:szCs w:val="28"/>
        </w:rPr>
        <w:t xml:space="preserve">выявленных </w:t>
      </w:r>
      <w:r w:rsidR="008E5AAE" w:rsidRPr="00D40823">
        <w:rPr>
          <w:sz w:val="24"/>
          <w:szCs w:val="28"/>
        </w:rPr>
        <w:t>нарушений</w:t>
      </w:r>
      <w:r w:rsidRPr="00D40823">
        <w:rPr>
          <w:sz w:val="24"/>
          <w:szCs w:val="28"/>
        </w:rPr>
        <w:t xml:space="preserve"> и замечаний</w:t>
      </w:r>
      <w:r w:rsidR="008E5AAE" w:rsidRPr="00D40823">
        <w:rPr>
          <w:sz w:val="24"/>
          <w:szCs w:val="28"/>
        </w:rPr>
        <w:t xml:space="preserve">, особенности </w:t>
      </w:r>
      <w:r w:rsidRPr="00D40823">
        <w:rPr>
          <w:sz w:val="24"/>
          <w:szCs w:val="28"/>
        </w:rPr>
        <w:t>ведения учёта.</w:t>
      </w:r>
    </w:p>
    <w:p w:rsidR="00403990" w:rsidRPr="00D40823" w:rsidRDefault="00403990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 xml:space="preserve">Структура заключения на годовой отчёт об исполнении муниципального бюджета формируется исходя из задач (вопросов) внешней проверки и структуры решения о </w:t>
      </w:r>
      <w:r w:rsidR="00E3653B" w:rsidRPr="00D40823">
        <w:rPr>
          <w:rFonts w:eastAsia="Calibri"/>
          <w:sz w:val="24"/>
          <w:szCs w:val="24"/>
          <w:lang w:eastAsia="en-US"/>
        </w:rPr>
        <w:t>муниципальном</w:t>
      </w:r>
      <w:r w:rsidRPr="00D40823">
        <w:rPr>
          <w:rFonts w:eastAsia="Calibri"/>
          <w:sz w:val="24"/>
          <w:szCs w:val="24"/>
          <w:lang w:eastAsia="en-US"/>
        </w:rPr>
        <w:t xml:space="preserve"> бюджете (в том числе принципов построения бюджетной классификации) включает следующие основные разделы:</w:t>
      </w:r>
    </w:p>
    <w:p w:rsidR="00403990" w:rsidRPr="00D40823" w:rsidRDefault="00403990" w:rsidP="00D40823">
      <w:pPr>
        <w:pStyle w:val="Default"/>
        <w:ind w:firstLine="567"/>
        <w:jc w:val="both"/>
        <w:rPr>
          <w:color w:val="auto"/>
          <w:szCs w:val="28"/>
        </w:rPr>
      </w:pPr>
      <w:r w:rsidRPr="00D40823">
        <w:rPr>
          <w:color w:val="auto"/>
          <w:szCs w:val="28"/>
          <w:lang w:eastAsia="ar-SA"/>
        </w:rPr>
        <w:t>- общие положения</w:t>
      </w:r>
      <w:r w:rsidRPr="00D40823">
        <w:rPr>
          <w:color w:val="auto"/>
          <w:szCs w:val="28"/>
        </w:rPr>
        <w:t xml:space="preserve"> (</w:t>
      </w:r>
      <w:r w:rsidR="004A6ACC" w:rsidRPr="00D40823">
        <w:rPr>
          <w:color w:val="auto"/>
          <w:szCs w:val="28"/>
        </w:rPr>
        <w:t>основание, предмет, объект проверки, сроки проведения, основные выводы);</w:t>
      </w:r>
    </w:p>
    <w:p w:rsidR="00A61024" w:rsidRPr="00D40823" w:rsidRDefault="00A61024" w:rsidP="00D40823">
      <w:pPr>
        <w:pStyle w:val="Default"/>
        <w:ind w:firstLine="567"/>
        <w:jc w:val="both"/>
        <w:rPr>
          <w:color w:val="auto"/>
          <w:szCs w:val="28"/>
          <w:lang w:eastAsia="ar-SA"/>
        </w:rPr>
      </w:pPr>
      <w:r w:rsidRPr="00D40823">
        <w:rPr>
          <w:color w:val="auto"/>
          <w:szCs w:val="28"/>
          <w:lang w:eastAsia="ar-SA"/>
        </w:rPr>
        <w:t>- исполнение доходной части бюджета, в том числе налоговые и неналоговые доходы</w:t>
      </w:r>
      <w:r w:rsidR="004A6ACC" w:rsidRPr="00D40823">
        <w:rPr>
          <w:color w:val="auto"/>
          <w:szCs w:val="28"/>
          <w:lang w:eastAsia="ar-SA"/>
        </w:rPr>
        <w:t>, включая анализ дебиторской задолженности</w:t>
      </w:r>
      <w:r w:rsidRPr="00D40823">
        <w:rPr>
          <w:color w:val="auto"/>
          <w:szCs w:val="28"/>
          <w:lang w:eastAsia="ar-SA"/>
        </w:rPr>
        <w:t>, безвозмездные поступления;</w:t>
      </w:r>
    </w:p>
    <w:p w:rsidR="00A61024" w:rsidRPr="00D40823" w:rsidRDefault="00A61024" w:rsidP="00D40823">
      <w:pPr>
        <w:pStyle w:val="Default"/>
        <w:ind w:firstLine="567"/>
        <w:jc w:val="both"/>
        <w:rPr>
          <w:color w:val="auto"/>
          <w:szCs w:val="28"/>
          <w:lang w:eastAsia="ar-SA"/>
        </w:rPr>
      </w:pPr>
      <w:r w:rsidRPr="00D40823">
        <w:rPr>
          <w:color w:val="auto"/>
          <w:szCs w:val="28"/>
          <w:lang w:eastAsia="ar-SA"/>
        </w:rPr>
        <w:t>- исполнение расходной части бюджета, в том числе по программным и непрограммным мероприятиям, по главным распорядителям бюджетных средств, анализ дорожного фонда</w:t>
      </w:r>
      <w:r w:rsidR="004A6ACC" w:rsidRPr="00D40823">
        <w:rPr>
          <w:color w:val="auto"/>
          <w:szCs w:val="28"/>
          <w:lang w:eastAsia="ar-SA"/>
        </w:rPr>
        <w:t xml:space="preserve">, </w:t>
      </w:r>
      <w:r w:rsidR="000D3361" w:rsidRPr="00D40823">
        <w:rPr>
          <w:color w:val="auto"/>
          <w:szCs w:val="28"/>
          <w:lang w:eastAsia="ar-SA"/>
        </w:rPr>
        <w:t xml:space="preserve">анализ дебиторской и кредиторской задолженности </w:t>
      </w:r>
      <w:r w:rsidR="004A6ACC" w:rsidRPr="00D40823">
        <w:rPr>
          <w:color w:val="auto"/>
          <w:szCs w:val="28"/>
          <w:lang w:eastAsia="ar-SA"/>
        </w:rPr>
        <w:t>и др.;</w:t>
      </w:r>
    </w:p>
    <w:p w:rsidR="004A6ACC" w:rsidRPr="00D40823" w:rsidRDefault="004A6ACC" w:rsidP="00D40823">
      <w:pPr>
        <w:pStyle w:val="Default"/>
        <w:ind w:firstLine="567"/>
        <w:jc w:val="both"/>
        <w:rPr>
          <w:color w:val="auto"/>
          <w:szCs w:val="28"/>
          <w:lang w:eastAsia="ar-SA"/>
        </w:rPr>
      </w:pPr>
      <w:r w:rsidRPr="00D40823">
        <w:rPr>
          <w:color w:val="auto"/>
          <w:szCs w:val="28"/>
          <w:lang w:eastAsia="ar-SA"/>
        </w:rPr>
        <w:lastRenderedPageBreak/>
        <w:t>- источники финансирования дефицита бюджета, состояние муниципального долга.</w:t>
      </w:r>
    </w:p>
    <w:p w:rsidR="007C4C68" w:rsidRPr="00D40823" w:rsidRDefault="00403990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 xml:space="preserve">В заключении </w:t>
      </w:r>
      <w:r w:rsidR="00D40823">
        <w:rPr>
          <w:rFonts w:eastAsia="Calibri"/>
          <w:sz w:val="24"/>
          <w:szCs w:val="24"/>
          <w:lang w:eastAsia="en-US"/>
        </w:rPr>
        <w:t>Контрольно-счетной палаты</w:t>
      </w:r>
      <w:r w:rsidR="00D40823" w:rsidRPr="00D40823">
        <w:rPr>
          <w:rFonts w:eastAsia="Calibri"/>
          <w:sz w:val="24"/>
          <w:szCs w:val="24"/>
          <w:lang w:eastAsia="en-US"/>
        </w:rPr>
        <w:t xml:space="preserve"> </w:t>
      </w:r>
      <w:r w:rsidRPr="00D40823">
        <w:rPr>
          <w:rFonts w:eastAsia="Calibri"/>
          <w:sz w:val="24"/>
          <w:szCs w:val="24"/>
          <w:lang w:eastAsia="en-US"/>
        </w:rPr>
        <w:t xml:space="preserve">на годовой отчёт об исполнении </w:t>
      </w:r>
      <w:r w:rsidR="000D3361" w:rsidRPr="00D40823">
        <w:rPr>
          <w:rFonts w:eastAsia="Calibri"/>
          <w:sz w:val="24"/>
          <w:szCs w:val="24"/>
          <w:lang w:eastAsia="en-US"/>
        </w:rPr>
        <w:t>муниципального</w:t>
      </w:r>
      <w:r w:rsidRPr="00D40823">
        <w:rPr>
          <w:rFonts w:eastAsia="Calibri"/>
          <w:sz w:val="24"/>
          <w:szCs w:val="24"/>
          <w:lang w:eastAsia="en-US"/>
        </w:rPr>
        <w:t xml:space="preserve"> бюджета должны быть отражены основные вопросы соответствия исполнения </w:t>
      </w:r>
      <w:r w:rsidR="000D3361" w:rsidRPr="00D40823">
        <w:rPr>
          <w:rFonts w:eastAsia="Calibri"/>
          <w:sz w:val="24"/>
          <w:szCs w:val="24"/>
          <w:lang w:eastAsia="en-US"/>
        </w:rPr>
        <w:t>муниципального</w:t>
      </w:r>
      <w:r w:rsidRPr="00D40823">
        <w:rPr>
          <w:rFonts w:eastAsia="Calibri"/>
          <w:sz w:val="24"/>
          <w:szCs w:val="24"/>
          <w:lang w:eastAsia="en-US"/>
        </w:rPr>
        <w:t xml:space="preserve"> бюджета Бюджетному кодексу Российской Федерации</w:t>
      </w:r>
      <w:r w:rsidR="00A61024" w:rsidRPr="00D40823">
        <w:rPr>
          <w:rFonts w:eastAsia="Calibri"/>
          <w:sz w:val="24"/>
          <w:szCs w:val="24"/>
          <w:lang w:eastAsia="en-US"/>
        </w:rPr>
        <w:t>.</w:t>
      </w:r>
    </w:p>
    <w:p w:rsidR="000D3361" w:rsidRPr="00D40823" w:rsidRDefault="000D3361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>В заключении на годовой отчёт об исполнении муниципального бюджета даётся оценка основных, наиболее значимых итогов и результатов исполнения муниципального бюджета, включая исполнение доходов, расходов и источников финансирования дефицита муниципального бюджета за отчетный финансовый год, а также оценка объёма и структуры долговых обязательств.</w:t>
      </w:r>
    </w:p>
    <w:p w:rsidR="000D3361" w:rsidRPr="00D40823" w:rsidRDefault="000D3361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 xml:space="preserve">В заключении отражаются все установленные факты несоответствия годового отчёта об исполнении муниципального бюджета и бюджетной отчётности нормативным правовым актам, факты неполноты и недостоверности показателей годового отчёта об исполнении муниципального бюджета и бюджетной отчётности </w:t>
      </w:r>
      <w:proofErr w:type="spellStart"/>
      <w:r w:rsidRPr="00D40823">
        <w:rPr>
          <w:rFonts w:eastAsia="Calibri"/>
          <w:sz w:val="24"/>
          <w:szCs w:val="24"/>
          <w:lang w:eastAsia="en-US"/>
        </w:rPr>
        <w:t>ГАБС</w:t>
      </w:r>
      <w:proofErr w:type="spellEnd"/>
      <w:r w:rsidRPr="00D40823">
        <w:rPr>
          <w:rFonts w:eastAsia="Calibri"/>
          <w:sz w:val="24"/>
          <w:szCs w:val="24"/>
          <w:lang w:eastAsia="en-US"/>
        </w:rPr>
        <w:t>, исходя из их существенности.</w:t>
      </w:r>
    </w:p>
    <w:p w:rsidR="000D3361" w:rsidRPr="00D40823" w:rsidRDefault="000D3361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 xml:space="preserve">Выводы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</w:t>
      </w:r>
      <w:r w:rsidR="00E3653B" w:rsidRPr="00D40823">
        <w:rPr>
          <w:rFonts w:eastAsia="Calibri"/>
          <w:sz w:val="24"/>
          <w:szCs w:val="24"/>
          <w:lang w:eastAsia="en-US"/>
        </w:rPr>
        <w:t>муниципального</w:t>
      </w:r>
      <w:r w:rsidRPr="00D40823">
        <w:rPr>
          <w:rFonts w:eastAsia="Calibri"/>
          <w:sz w:val="24"/>
          <w:szCs w:val="24"/>
          <w:lang w:eastAsia="en-US"/>
        </w:rPr>
        <w:t xml:space="preserve"> бюджета. Выводы отражают возможные последствия нарушений в случае их несвоевременного устранения, а также, при необходимости, могут содержать предложения по совершенствованию бюджетного процесса и нормативно-правовых актов по финансово-бюджетным вопросам, эффективности использования бюджетных средств</w:t>
      </w:r>
      <w:r w:rsidR="00D42C23" w:rsidRPr="00D40823">
        <w:rPr>
          <w:rFonts w:eastAsia="Calibri"/>
          <w:sz w:val="24"/>
          <w:szCs w:val="24"/>
          <w:lang w:eastAsia="en-US"/>
        </w:rPr>
        <w:t>.</w:t>
      </w:r>
    </w:p>
    <w:p w:rsidR="000D3361" w:rsidRPr="00D40823" w:rsidRDefault="000D3361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>При направлении предложений об устранении фактов неполноты и недостоверности бюджетной отчётности, иных нарушений нормативных правовых актов следует исходить из того, что на момент завершения внешней проверки бюджетная отчётность за отчётный год уже принята и консолидирована в отчётности об исполнении консолидированного бюджета</w:t>
      </w:r>
      <w:r w:rsidR="00D42C23" w:rsidRPr="00D40823">
        <w:rPr>
          <w:rFonts w:eastAsia="Calibri"/>
          <w:sz w:val="24"/>
          <w:szCs w:val="24"/>
          <w:lang w:eastAsia="en-US"/>
        </w:rPr>
        <w:t>.</w:t>
      </w:r>
    </w:p>
    <w:p w:rsidR="00E3653B" w:rsidRDefault="000D3361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823">
        <w:rPr>
          <w:rFonts w:eastAsia="Calibri"/>
          <w:sz w:val="24"/>
          <w:szCs w:val="24"/>
          <w:lang w:eastAsia="en-US"/>
        </w:rPr>
        <w:t xml:space="preserve">Заключение должно отвечать требованиям объективности, своевременности, обоснованности, чёткости и доступности изложения. В заключении рекомендуется отражать как положительные, так и отрицательные стороны исполнения </w:t>
      </w:r>
      <w:r w:rsidR="00D42C23" w:rsidRPr="00D40823">
        <w:rPr>
          <w:rFonts w:eastAsia="Calibri"/>
          <w:sz w:val="24"/>
          <w:szCs w:val="24"/>
          <w:lang w:eastAsia="en-US"/>
        </w:rPr>
        <w:t>муниципального</w:t>
      </w:r>
      <w:r w:rsidRPr="00D40823">
        <w:rPr>
          <w:rFonts w:eastAsia="Calibri"/>
          <w:sz w:val="24"/>
          <w:szCs w:val="24"/>
          <w:lang w:eastAsia="en-US"/>
        </w:rPr>
        <w:t xml:space="preserve"> бюджета. </w:t>
      </w:r>
    </w:p>
    <w:p w:rsidR="00D40823" w:rsidRDefault="00D40823" w:rsidP="00D40823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40823">
        <w:rPr>
          <w:sz w:val="24"/>
          <w:szCs w:val="24"/>
          <w:lang w:eastAsia="ru-RU"/>
        </w:rPr>
        <w:t xml:space="preserve">Заключение </w:t>
      </w:r>
      <w:r>
        <w:rPr>
          <w:sz w:val="24"/>
          <w:szCs w:val="24"/>
          <w:lang w:eastAsia="ru-RU"/>
        </w:rPr>
        <w:t xml:space="preserve">утверждается председателем Контрольно-счетной палаты и направляется в </w:t>
      </w:r>
      <w:r w:rsidRPr="00D40823">
        <w:rPr>
          <w:sz w:val="24"/>
          <w:szCs w:val="24"/>
          <w:lang w:eastAsia="ru-RU"/>
        </w:rPr>
        <w:t>Совет МО ГО "Сыктывкар" с одновременным направлением в администрацию МО ГО "Сыктывкар"</w:t>
      </w:r>
      <w:r>
        <w:rPr>
          <w:sz w:val="24"/>
          <w:szCs w:val="24"/>
          <w:lang w:eastAsia="ru-RU"/>
        </w:rPr>
        <w:t>.</w:t>
      </w:r>
    </w:p>
    <w:p w:rsidR="006138CD" w:rsidRPr="00291566" w:rsidRDefault="006138CD" w:rsidP="006138CD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291566">
        <w:rPr>
          <w:rFonts w:eastAsia="Calibri"/>
          <w:b/>
          <w:sz w:val="24"/>
          <w:szCs w:val="28"/>
          <w:lang w:eastAsia="en-US"/>
        </w:rPr>
        <w:t xml:space="preserve">Контроль реализации результатов </w:t>
      </w:r>
      <w:r>
        <w:rPr>
          <w:rFonts w:eastAsia="Calibri"/>
          <w:b/>
          <w:sz w:val="24"/>
          <w:szCs w:val="28"/>
          <w:lang w:eastAsia="en-US"/>
        </w:rPr>
        <w:t>внешней проверки</w:t>
      </w:r>
      <w:r w:rsidRPr="00291566">
        <w:rPr>
          <w:rFonts w:eastAsia="Calibri"/>
          <w:b/>
          <w:sz w:val="24"/>
          <w:szCs w:val="28"/>
          <w:lang w:eastAsia="en-US"/>
        </w:rPr>
        <w:t xml:space="preserve"> 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6138CD" w:rsidRPr="00291566" w:rsidRDefault="006138CD" w:rsidP="006138CD">
      <w:pPr>
        <w:suppressAutoHyphens w:val="0"/>
        <w:ind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проведенных мероприятий</w:t>
      </w:r>
      <w:r>
        <w:rPr>
          <w:sz w:val="24"/>
          <w:szCs w:val="24"/>
        </w:rPr>
        <w:t xml:space="preserve"> (выводов и предложений)</w:t>
      </w:r>
      <w:r w:rsidRPr="00291566">
        <w:rPr>
          <w:sz w:val="24"/>
          <w:szCs w:val="24"/>
        </w:rPr>
        <w:t xml:space="preserve">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spacing w:line="288" w:lineRule="atLeast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принятие соответствующих решений в случаях неисполнения (ненадлежащего исполнения), снятие с контроля.</w:t>
      </w:r>
    </w:p>
    <w:p w:rsidR="006138CD" w:rsidRPr="00291566" w:rsidRDefault="006138CD" w:rsidP="006138CD">
      <w:pPr>
        <w:pStyle w:val="Default"/>
        <w:ind w:firstLine="567"/>
        <w:jc w:val="both"/>
      </w:pPr>
      <w:r w:rsidRPr="00DB5740">
        <w:rPr>
          <w:color w:val="auto"/>
        </w:rPr>
        <w:t>Текущий</w:t>
      </w:r>
      <w:r w:rsidRPr="00291566"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6138CD" w:rsidRPr="00291566" w:rsidRDefault="006138CD" w:rsidP="006138CD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6138CD" w:rsidRPr="00291566" w:rsidRDefault="006138CD" w:rsidP="006138CD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6138CD" w:rsidRPr="00291566" w:rsidRDefault="006138CD" w:rsidP="006138CD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lastRenderedPageBreak/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6138CD" w:rsidRPr="00291566" w:rsidRDefault="006138CD" w:rsidP="006138CD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 xml:space="preserve">Анализ информации по результатам рассмотрения уведомлений о применении бюджетных мер принуждения и исполнением решений об их применении, </w:t>
      </w:r>
      <w:r w:rsidRPr="00291566">
        <w:rPr>
          <w:sz w:val="24"/>
          <w:szCs w:val="24"/>
          <w:lang w:eastAsia="ru-RU"/>
        </w:rPr>
        <w:t>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rFonts w:eastAsia="Calibri"/>
          <w:sz w:val="24"/>
          <w:szCs w:val="24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6138CD" w:rsidRPr="00291566" w:rsidRDefault="006138CD" w:rsidP="006138CD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291566">
        <w:rPr>
          <w:rFonts w:eastAsia="Calibri"/>
          <w:b/>
          <w:sz w:val="24"/>
          <w:szCs w:val="28"/>
          <w:lang w:eastAsia="en-US"/>
        </w:rPr>
        <w:t xml:space="preserve">Управление качеством </w:t>
      </w:r>
      <w:r>
        <w:rPr>
          <w:rFonts w:eastAsia="Calibri"/>
          <w:b/>
          <w:sz w:val="24"/>
          <w:szCs w:val="28"/>
          <w:lang w:eastAsia="en-US"/>
        </w:rPr>
        <w:t>внешней проверки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Управление качеством мероприятий организуют председатель Контрольно-счетной палаты и аудитор. 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Мероприятие считается проведенным качественно, если:</w:t>
      </w:r>
    </w:p>
    <w:p w:rsidR="006138CD" w:rsidRPr="00291566" w:rsidRDefault="006138CD" w:rsidP="006138C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раскрыты цели мероприятия и даны исчерпывающие ответы на поставленные вопросы;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6138CD" w:rsidRPr="00291566" w:rsidRDefault="006138CD" w:rsidP="006138CD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sz w:val="24"/>
          <w:szCs w:val="24"/>
          <w:lang w:eastAsia="ru-RU"/>
        </w:rPr>
        <w:t xml:space="preserve">- в зависимости от целей </w:t>
      </w:r>
      <w:proofErr w:type="gramStart"/>
      <w:r w:rsidRPr="00291566">
        <w:rPr>
          <w:sz w:val="24"/>
          <w:szCs w:val="24"/>
          <w:lang w:eastAsia="ru-RU"/>
        </w:rPr>
        <w:t>мероприятия</w:t>
      </w:r>
      <w:proofErr w:type="gramEnd"/>
      <w:r w:rsidRPr="00291566">
        <w:rPr>
          <w:sz w:val="24"/>
          <w:szCs w:val="24"/>
          <w:lang w:eastAsia="ru-RU"/>
        </w:rPr>
        <w:t xml:space="preserve"> изложенные в </w:t>
      </w:r>
      <w:r>
        <w:rPr>
          <w:sz w:val="24"/>
          <w:szCs w:val="24"/>
          <w:lang w:eastAsia="ru-RU"/>
        </w:rPr>
        <w:t>документах Контрольно-счетной палаты</w:t>
      </w:r>
      <w:r w:rsidRPr="00291566">
        <w:rPr>
          <w:sz w:val="24"/>
          <w:szCs w:val="24"/>
          <w:lang w:eastAsia="ru-RU"/>
        </w:rPr>
        <w:t xml:space="preserve"> предложения (рекомендации) направлены на устранение причин выявленных нарушений и недостатков, </w:t>
      </w:r>
      <w:r w:rsidRPr="00291566">
        <w:rPr>
          <w:rFonts w:eastAsia="Calibri"/>
          <w:sz w:val="24"/>
          <w:szCs w:val="24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</w:t>
      </w:r>
      <w:r w:rsidRPr="00291566">
        <w:rPr>
          <w:i/>
          <w:sz w:val="24"/>
          <w:szCs w:val="24"/>
          <w:lang w:eastAsia="ru-RU"/>
        </w:rPr>
        <w:t>подготовительном этапе</w:t>
      </w:r>
      <w:r w:rsidRPr="00291566">
        <w:rPr>
          <w:sz w:val="24"/>
          <w:szCs w:val="24"/>
          <w:lang w:eastAsia="ru-RU"/>
        </w:rPr>
        <w:t xml:space="preserve"> мероприятия по результатам предварительного изучения предмета и объектов мероприятия </w:t>
      </w:r>
      <w:r w:rsidRPr="00291566">
        <w:rPr>
          <w:sz w:val="24"/>
          <w:szCs w:val="24"/>
        </w:rPr>
        <w:t>председатель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, при необходимости, проводит с участниками мероприятия совещание, на котором: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проверяется их знание предмета и объектов мероприятия;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выясняется понимание участниками мероприятия заданий и обязанностей, которые им надлежит выполнять;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обсуждаются вопросы мероприятия, методы сбора, оценки и анализа информации и фактических данных;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этапе </w:t>
      </w:r>
      <w:r w:rsidRPr="00291566">
        <w:rPr>
          <w:i/>
          <w:sz w:val="24"/>
          <w:szCs w:val="24"/>
          <w:lang w:eastAsia="ru-RU"/>
        </w:rPr>
        <w:t>текущего контроля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аудитор</w:t>
      </w:r>
      <w:r w:rsidRPr="00291566">
        <w:rPr>
          <w:sz w:val="24"/>
          <w:szCs w:val="24"/>
          <w:lang w:eastAsia="ru-RU"/>
        </w:rPr>
        <w:t xml:space="preserve">: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lastRenderedPageBreak/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выявляет проблемы, возникающие при проведении мероприятия, в целях своевременного принятия мер по их разрешению.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Председатель Контрольно-счетной палаты поддерживает постоянный контакт с </w:t>
      </w:r>
      <w:r w:rsidRPr="00291566">
        <w:rPr>
          <w:sz w:val="24"/>
          <w:szCs w:val="24"/>
        </w:rPr>
        <w:t>аудитором</w:t>
      </w:r>
      <w:r w:rsidRPr="00291566">
        <w:rPr>
          <w:sz w:val="24"/>
          <w:szCs w:val="24"/>
          <w:lang w:eastAsia="ru-RU"/>
        </w:rPr>
        <w:t xml:space="preserve">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Проекты документов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6138CD" w:rsidRPr="00291566" w:rsidRDefault="006138CD" w:rsidP="006138CD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i/>
          <w:sz w:val="24"/>
          <w:szCs w:val="24"/>
          <w:lang w:eastAsia="ru-RU"/>
        </w:rPr>
        <w:t>Последующий контроль</w:t>
      </w:r>
      <w:r w:rsidRPr="00291566">
        <w:rPr>
          <w:sz w:val="24"/>
          <w:szCs w:val="24"/>
          <w:lang w:eastAsia="ru-RU"/>
        </w:rPr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6138CD" w:rsidRPr="00291566" w:rsidRDefault="006138CD" w:rsidP="006138CD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</w:t>
      </w:r>
      <w:bookmarkStart w:id="0" w:name="_GoBack"/>
      <w:bookmarkEnd w:id="0"/>
      <w:r w:rsidRPr="00291566">
        <w:rPr>
          <w:sz w:val="24"/>
          <w:szCs w:val="24"/>
          <w:lang w:eastAsia="ru-RU"/>
        </w:rPr>
        <w:t xml:space="preserve">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AF7CEB" w:rsidRPr="00D40823" w:rsidRDefault="006138CD" w:rsidP="006138CD">
      <w:pPr>
        <w:ind w:firstLine="567"/>
        <w:jc w:val="both"/>
        <w:rPr>
          <w:sz w:val="28"/>
          <w:szCs w:val="28"/>
        </w:rPr>
      </w:pPr>
      <w:r w:rsidRPr="00291566">
        <w:rPr>
          <w:sz w:val="24"/>
          <w:szCs w:val="24"/>
          <w:lang w:eastAsia="ru-RU"/>
        </w:rPr>
        <w:t xml:space="preserve">Для объективной оценки качества проведенных мероприятий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 также учитывается информация, полученная от внешних источников (глава МО ГО "Сыктывкар" - руководитель </w:t>
      </w:r>
      <w:r w:rsidR="00072F3C">
        <w:rPr>
          <w:sz w:val="24"/>
          <w:szCs w:val="24"/>
          <w:lang w:eastAsia="ru-RU"/>
        </w:rPr>
        <w:t>администрации</w:t>
      </w:r>
      <w:r w:rsidRPr="00291566">
        <w:rPr>
          <w:sz w:val="24"/>
          <w:szCs w:val="24"/>
          <w:lang w:eastAsia="ru-RU"/>
        </w:rPr>
        <w:t>, Совет МО ГО "Сыктывкар", иные отдельные заинтересованные органы и организации).</w:t>
      </w:r>
      <w:r w:rsidR="00AF7CEB">
        <w:rPr>
          <w:bCs/>
          <w:sz w:val="28"/>
          <w:szCs w:val="28"/>
        </w:rPr>
        <w:br w:type="page"/>
      </w:r>
    </w:p>
    <w:p w:rsidR="00AF7CEB" w:rsidRDefault="00AF7CEB" w:rsidP="00AF7CEB">
      <w:pPr>
        <w:shd w:val="clear" w:color="auto" w:fill="FFFFFF"/>
        <w:ind w:right="79"/>
        <w:jc w:val="center"/>
        <w:rPr>
          <w:color w:val="000000"/>
        </w:rPr>
      </w:pPr>
      <w:r>
        <w:rPr>
          <w:color w:val="000000"/>
        </w:rPr>
        <w:lastRenderedPageBreak/>
        <w:t>Лист ознакомления № ___:</w:t>
      </w:r>
    </w:p>
    <w:p w:rsidR="00AF7CEB" w:rsidRDefault="00AF7CEB" w:rsidP="00AF7CEB">
      <w:pPr>
        <w:shd w:val="clear" w:color="auto" w:fill="FFFFFF"/>
        <w:ind w:right="79" w:firstLine="709"/>
        <w:rPr>
          <w:color w:val="000000"/>
        </w:rPr>
      </w:pPr>
    </w:p>
    <w:p w:rsidR="00AF7CEB" w:rsidRPr="00AF7CEB" w:rsidRDefault="00AF7CEB" w:rsidP="00AF7CEB">
      <w:pPr>
        <w:jc w:val="center"/>
        <w:rPr>
          <w:sz w:val="24"/>
          <w:szCs w:val="24"/>
        </w:rPr>
      </w:pPr>
      <w:r w:rsidRPr="00AF7CEB">
        <w:rPr>
          <w:sz w:val="24"/>
          <w:szCs w:val="24"/>
        </w:rPr>
        <w:t xml:space="preserve">С </w:t>
      </w:r>
      <w:proofErr w:type="spellStart"/>
      <w:r w:rsidRPr="00AF7CEB">
        <w:rPr>
          <w:bCs/>
          <w:sz w:val="24"/>
          <w:szCs w:val="24"/>
        </w:rPr>
        <w:t>С</w:t>
      </w:r>
      <w:r w:rsidR="00DA17FE">
        <w:rPr>
          <w:bCs/>
          <w:sz w:val="24"/>
          <w:szCs w:val="24"/>
        </w:rPr>
        <w:t>ВМ</w:t>
      </w:r>
      <w:r w:rsidRPr="00AF7CEB">
        <w:rPr>
          <w:bCs/>
          <w:sz w:val="24"/>
          <w:szCs w:val="24"/>
        </w:rPr>
        <w:t>ФК</w:t>
      </w:r>
      <w:proofErr w:type="spellEnd"/>
      <w:r w:rsidRPr="00AF7CEB">
        <w:rPr>
          <w:bCs/>
          <w:sz w:val="24"/>
          <w:szCs w:val="24"/>
        </w:rPr>
        <w:t xml:space="preserve"> "Проведение внешней проверки годового отчета об исполнении местного</w:t>
      </w:r>
      <w:r w:rsidR="000A123D">
        <w:rPr>
          <w:bCs/>
          <w:sz w:val="24"/>
          <w:szCs w:val="24"/>
        </w:rPr>
        <w:br/>
      </w:r>
      <w:r w:rsidRPr="00AF7CEB">
        <w:rPr>
          <w:bCs/>
          <w:sz w:val="24"/>
          <w:szCs w:val="24"/>
        </w:rPr>
        <w:t xml:space="preserve">бюджета </w:t>
      </w:r>
      <w:r w:rsidRPr="00AF7CEB">
        <w:rPr>
          <w:b/>
          <w:sz w:val="24"/>
          <w:szCs w:val="24"/>
        </w:rPr>
        <w:t>ознакомлен</w:t>
      </w:r>
      <w:r w:rsidRPr="00AF7CEB">
        <w:rPr>
          <w:sz w:val="24"/>
          <w:szCs w:val="24"/>
        </w:rPr>
        <w:t>:</w:t>
      </w:r>
    </w:p>
    <w:p w:rsidR="00AF7CEB" w:rsidRDefault="00AF7CEB" w:rsidP="00AF7CEB">
      <w:pPr>
        <w:shd w:val="clear" w:color="auto" w:fill="FFFFFF"/>
        <w:ind w:right="79"/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405"/>
        <w:gridCol w:w="1866"/>
        <w:gridCol w:w="278"/>
        <w:gridCol w:w="2154"/>
        <w:gridCol w:w="279"/>
        <w:gridCol w:w="3390"/>
      </w:tblGrid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19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21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22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23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  <w:tr w:rsidR="00AF7CEB" w:rsidTr="00AF7CEB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</w:tr>
      <w:tr w:rsidR="00AF7CEB" w:rsidTr="00AF7CEB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7CEB" w:rsidRDefault="00AF7CEB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>
              <w:t>(Ф.И.О.)</w:t>
            </w:r>
          </w:p>
        </w:tc>
      </w:tr>
    </w:tbl>
    <w:p w:rsidR="00AF7CEB" w:rsidRDefault="00AF7CEB" w:rsidP="00AF7CEB">
      <w:pPr>
        <w:widowControl w:val="0"/>
        <w:autoSpaceDE w:val="0"/>
        <w:autoSpaceDN w:val="0"/>
        <w:jc w:val="both"/>
      </w:pPr>
    </w:p>
    <w:p w:rsidR="00AF7CEB" w:rsidRDefault="00AF7CEB" w:rsidP="00AF7CEB"/>
    <w:p w:rsidR="00034BFE" w:rsidRPr="001437DC" w:rsidRDefault="00034BFE" w:rsidP="000C1553">
      <w:pPr>
        <w:ind w:firstLine="709"/>
        <w:jc w:val="both"/>
        <w:rPr>
          <w:b/>
          <w:bCs/>
          <w:sz w:val="28"/>
          <w:szCs w:val="28"/>
        </w:rPr>
      </w:pPr>
    </w:p>
    <w:sectPr w:rsidR="00034BFE" w:rsidRPr="001437DC" w:rsidSect="00787A93">
      <w:headerReference w:type="even" r:id="rId8"/>
      <w:headerReference w:type="default" r:id="rId9"/>
      <w:footerReference w:type="default" r:id="rId10"/>
      <w:headerReference w:type="first" r:id="rId11"/>
      <w:pgSz w:w="11905" w:h="16837" w:code="9"/>
      <w:pgMar w:top="709" w:right="567" w:bottom="567" w:left="1418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DA" w:rsidRDefault="00FB51DA">
      <w:r>
        <w:separator/>
      </w:r>
    </w:p>
  </w:endnote>
  <w:endnote w:type="continuationSeparator" w:id="0">
    <w:p w:rsidR="00FB51DA" w:rsidRDefault="00F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C23" w:rsidRDefault="00D42C23" w:rsidP="008B7E16">
    <w:pPr>
      <w:pStyle w:val="af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DA" w:rsidRDefault="00FB51DA">
      <w:r>
        <w:separator/>
      </w:r>
    </w:p>
  </w:footnote>
  <w:footnote w:type="continuationSeparator" w:id="0">
    <w:p w:rsidR="00FB51DA" w:rsidRDefault="00FB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C23" w:rsidRDefault="00D42C23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42C23" w:rsidRDefault="00D42C2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C23" w:rsidRDefault="00D42C23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72F3C">
      <w:rPr>
        <w:rStyle w:val="a3"/>
        <w:noProof/>
      </w:rPr>
      <w:t>10</w:t>
    </w:r>
    <w:r>
      <w:rPr>
        <w:rStyle w:val="a3"/>
      </w:rPr>
      <w:fldChar w:fldCharType="end"/>
    </w:r>
  </w:p>
  <w:p w:rsidR="00D42C23" w:rsidRDefault="00D42C2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D42C23" w:rsidRPr="00FC731F" w:rsidTr="00290F08">
      <w:trPr>
        <w:trHeight w:val="1607"/>
      </w:trPr>
      <w:tc>
        <w:tcPr>
          <w:tcW w:w="4068" w:type="dxa"/>
          <w:vAlign w:val="bottom"/>
        </w:tcPr>
        <w:p w:rsidR="00D42C23" w:rsidRPr="00FC731F" w:rsidRDefault="00D42C23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КОНТРОЛЬНО - СЧЕТНАЯ ПАЛАТА</w:t>
          </w:r>
        </w:p>
        <w:p w:rsidR="00D42C23" w:rsidRPr="00FC731F" w:rsidRDefault="00D42C23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МУНИЦИПАЛЬНОГО ОБРАЗОВАНИЯ</w:t>
          </w:r>
          <w:r w:rsidRPr="00FC731F">
            <w:rPr>
              <w:b/>
            </w:rPr>
            <w:br/>
            <w:t>ГОРОДСКОГО ОКРУГА “СЫКТЫВКАР”</w:t>
          </w:r>
        </w:p>
        <w:p w:rsidR="00D42C23" w:rsidRPr="00FC731F" w:rsidRDefault="00D42C23" w:rsidP="00290F08">
          <w:pPr>
            <w:ind w:left="-180" w:right="-108"/>
            <w:jc w:val="center"/>
            <w:rPr>
              <w:b/>
            </w:rPr>
          </w:pPr>
        </w:p>
      </w:tc>
      <w:tc>
        <w:tcPr>
          <w:tcW w:w="1461" w:type="dxa"/>
        </w:tcPr>
        <w:p w:rsidR="00D42C23" w:rsidRPr="00FC731F" w:rsidRDefault="00D42C23" w:rsidP="00290F08">
          <w:pPr>
            <w:ind w:left="-108" w:right="-108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B035ABF" wp14:editId="3ABD253B">
                <wp:extent cx="762000" cy="914400"/>
                <wp:effectExtent l="0" t="0" r="0" b="0"/>
                <wp:docPr id="8" name="Рисунок 8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D42C23" w:rsidRPr="00FC731F" w:rsidRDefault="00D42C23" w:rsidP="00290F08">
          <w:pPr>
            <w:ind w:left="-181" w:right="-108"/>
            <w:jc w:val="center"/>
            <w:rPr>
              <w:b/>
            </w:rPr>
          </w:pPr>
          <w:r w:rsidRPr="00FC731F">
            <w:rPr>
              <w:b/>
            </w:rPr>
            <w:t xml:space="preserve">“СЫКТЫВКАР” КАР </w:t>
          </w:r>
          <w:proofErr w:type="spellStart"/>
          <w:r w:rsidRPr="00FC731F">
            <w:rPr>
              <w:b/>
            </w:rPr>
            <w:t>КЫТШЛÖН</w:t>
          </w:r>
          <w:proofErr w:type="spellEnd"/>
        </w:p>
        <w:p w:rsidR="00D42C23" w:rsidRPr="00FC731F" w:rsidRDefault="00D42C23" w:rsidP="00290F08">
          <w:pPr>
            <w:ind w:left="-181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МУНИЦИПАЛЬНÖЙ</w:t>
          </w:r>
          <w:proofErr w:type="spellEnd"/>
          <w:r w:rsidRPr="00FC731F">
            <w:rPr>
              <w:b/>
            </w:rPr>
            <w:t xml:space="preserve"> </w:t>
          </w:r>
          <w:proofErr w:type="spellStart"/>
          <w:r w:rsidRPr="00FC731F">
            <w:rPr>
              <w:b/>
            </w:rPr>
            <w:t>ЮКÖНСА</w:t>
          </w:r>
          <w:proofErr w:type="spellEnd"/>
        </w:p>
        <w:p w:rsidR="00D42C23" w:rsidRPr="00FC731F" w:rsidRDefault="00D42C23" w:rsidP="00290F08">
          <w:pPr>
            <w:ind w:left="-180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ВИДЗÖДАН</w:t>
          </w:r>
          <w:proofErr w:type="spellEnd"/>
          <w:r w:rsidRPr="00FC731F">
            <w:rPr>
              <w:b/>
            </w:rPr>
            <w:t xml:space="preserve"> - </w:t>
          </w:r>
          <w:proofErr w:type="spellStart"/>
          <w:r w:rsidRPr="00FC731F">
            <w:rPr>
              <w:b/>
            </w:rPr>
            <w:t>АРТАЛАН</w:t>
          </w:r>
          <w:proofErr w:type="spellEnd"/>
          <w:r w:rsidRPr="00FC731F">
            <w:rPr>
              <w:b/>
            </w:rPr>
            <w:t xml:space="preserve"> ПАЛАТА</w:t>
          </w:r>
        </w:p>
        <w:p w:rsidR="00D42C23" w:rsidRPr="00FC731F" w:rsidRDefault="00D42C23" w:rsidP="00290F08">
          <w:pPr>
            <w:ind w:left="-108" w:right="-108"/>
            <w:jc w:val="center"/>
            <w:rPr>
              <w:b/>
            </w:rPr>
          </w:pPr>
        </w:p>
      </w:tc>
    </w:tr>
    <w:tr w:rsidR="00D42C23" w:rsidRPr="007D2F7C" w:rsidTr="00290F08">
      <w:tc>
        <w:tcPr>
          <w:tcW w:w="9214" w:type="dxa"/>
          <w:gridSpan w:val="3"/>
          <w:tcBorders>
            <w:top w:val="single" w:sz="4" w:space="0" w:color="auto"/>
          </w:tcBorders>
        </w:tcPr>
        <w:p w:rsidR="00D42C23" w:rsidRPr="007141EC" w:rsidRDefault="00D42C23" w:rsidP="00290F08">
          <w:pPr>
            <w:jc w:val="center"/>
            <w:rPr>
              <w:sz w:val="19"/>
              <w:szCs w:val="19"/>
            </w:rPr>
          </w:pPr>
          <w:r w:rsidRPr="007141EC">
            <w:rPr>
              <w:sz w:val="19"/>
              <w:szCs w:val="19"/>
            </w:rPr>
            <w:t>Бабушкина ул., д. 22, каб. 204, г. Сыктывкар, 167</w:t>
          </w:r>
          <w:r>
            <w:rPr>
              <w:sz w:val="19"/>
              <w:szCs w:val="19"/>
            </w:rPr>
            <w:t>000</w:t>
          </w:r>
          <w:r w:rsidRPr="007141EC">
            <w:rPr>
              <w:sz w:val="19"/>
              <w:szCs w:val="19"/>
            </w:rPr>
            <w:t>, тел/факс (8212) 214670, e-</w:t>
          </w:r>
          <w:proofErr w:type="spellStart"/>
          <w:r w:rsidRPr="007141EC">
            <w:rPr>
              <w:sz w:val="19"/>
              <w:szCs w:val="19"/>
            </w:rPr>
            <w:t>mail</w:t>
          </w:r>
          <w:proofErr w:type="spellEnd"/>
          <w:r w:rsidRPr="007141EC">
            <w:rPr>
              <w:sz w:val="19"/>
              <w:szCs w:val="19"/>
            </w:rPr>
            <w:t xml:space="preserve">: </w:t>
          </w:r>
          <w:proofErr w:type="spellStart"/>
          <w:r w:rsidRPr="007141EC">
            <w:rPr>
              <w:sz w:val="19"/>
              <w:szCs w:val="19"/>
            </w:rPr>
            <w:t>ksp</w:t>
          </w:r>
          <w:proofErr w:type="spellEnd"/>
          <w:r w:rsidRPr="007141EC">
            <w:rPr>
              <w:sz w:val="19"/>
              <w:szCs w:val="19"/>
            </w:rPr>
            <w:t>@</w:t>
          </w:r>
          <w:proofErr w:type="spellStart"/>
          <w:r>
            <w:rPr>
              <w:sz w:val="19"/>
              <w:szCs w:val="19"/>
              <w:lang w:val="en-US"/>
            </w:rPr>
            <w:t>sykt</w:t>
          </w:r>
          <w:proofErr w:type="spellEnd"/>
          <w:r w:rsidRPr="00290F08">
            <w:rPr>
              <w:sz w:val="19"/>
              <w:szCs w:val="19"/>
            </w:rPr>
            <w:t>.</w:t>
          </w:r>
          <w:proofErr w:type="spellStart"/>
          <w:r>
            <w:rPr>
              <w:sz w:val="19"/>
              <w:szCs w:val="19"/>
              <w:lang w:val="en-US"/>
            </w:rPr>
            <w:t>rkomi</w:t>
          </w:r>
          <w:proofErr w:type="spellEnd"/>
          <w:r w:rsidRPr="007141EC">
            <w:rPr>
              <w:sz w:val="19"/>
              <w:szCs w:val="19"/>
            </w:rPr>
            <w:t>.</w:t>
          </w:r>
          <w:proofErr w:type="spellStart"/>
          <w:r w:rsidRPr="007141EC">
            <w:rPr>
              <w:sz w:val="19"/>
              <w:szCs w:val="19"/>
            </w:rPr>
            <w:t>ru</w:t>
          </w:r>
          <w:proofErr w:type="spellEnd"/>
        </w:p>
      </w:tc>
      <w:tc>
        <w:tcPr>
          <w:tcW w:w="284" w:type="dxa"/>
        </w:tcPr>
        <w:p w:rsidR="00D42C23" w:rsidRPr="007141EC" w:rsidRDefault="00D42C23" w:rsidP="00290F08">
          <w:pPr>
            <w:jc w:val="center"/>
            <w:rPr>
              <w:sz w:val="19"/>
              <w:szCs w:val="19"/>
            </w:rPr>
          </w:pPr>
        </w:p>
      </w:tc>
    </w:tr>
  </w:tbl>
  <w:p w:rsidR="00D42C23" w:rsidRPr="00F54C9F" w:rsidRDefault="00D42C23" w:rsidP="00F54C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AA33A0"/>
    <w:multiLevelType w:val="multilevel"/>
    <w:tmpl w:val="EA7E7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B4F6540"/>
    <w:multiLevelType w:val="multilevel"/>
    <w:tmpl w:val="CC824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1"/>
  </w:num>
  <w:num w:numId="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C5"/>
    <w:rsid w:val="000029FD"/>
    <w:rsid w:val="000061B0"/>
    <w:rsid w:val="00031DA6"/>
    <w:rsid w:val="00032125"/>
    <w:rsid w:val="00034BFE"/>
    <w:rsid w:val="0004361C"/>
    <w:rsid w:val="000456AF"/>
    <w:rsid w:val="00050705"/>
    <w:rsid w:val="000522A5"/>
    <w:rsid w:val="00070ED9"/>
    <w:rsid w:val="00072F3C"/>
    <w:rsid w:val="000735F8"/>
    <w:rsid w:val="00075F9F"/>
    <w:rsid w:val="00082068"/>
    <w:rsid w:val="000941AD"/>
    <w:rsid w:val="00095159"/>
    <w:rsid w:val="00096EC5"/>
    <w:rsid w:val="00097F25"/>
    <w:rsid w:val="000A123D"/>
    <w:rsid w:val="000B131E"/>
    <w:rsid w:val="000C0D73"/>
    <w:rsid w:val="000C1553"/>
    <w:rsid w:val="000C428D"/>
    <w:rsid w:val="000C66EF"/>
    <w:rsid w:val="000D3361"/>
    <w:rsid w:val="000D4C73"/>
    <w:rsid w:val="00102F1C"/>
    <w:rsid w:val="00106B26"/>
    <w:rsid w:val="00117898"/>
    <w:rsid w:val="0012438B"/>
    <w:rsid w:val="001277DF"/>
    <w:rsid w:val="001437DC"/>
    <w:rsid w:val="001506C6"/>
    <w:rsid w:val="001534D3"/>
    <w:rsid w:val="00182589"/>
    <w:rsid w:val="001870E4"/>
    <w:rsid w:val="001A0E0D"/>
    <w:rsid w:val="001A7D75"/>
    <w:rsid w:val="001B737C"/>
    <w:rsid w:val="001D363A"/>
    <w:rsid w:val="001D7B36"/>
    <w:rsid w:val="001E2FD3"/>
    <w:rsid w:val="001F787C"/>
    <w:rsid w:val="001F7F25"/>
    <w:rsid w:val="00207A2F"/>
    <w:rsid w:val="00221BF4"/>
    <w:rsid w:val="002231A3"/>
    <w:rsid w:val="00234B4D"/>
    <w:rsid w:val="00236617"/>
    <w:rsid w:val="00237B34"/>
    <w:rsid w:val="00247A41"/>
    <w:rsid w:val="00255111"/>
    <w:rsid w:val="0025523E"/>
    <w:rsid w:val="002636A6"/>
    <w:rsid w:val="0028505E"/>
    <w:rsid w:val="00290F08"/>
    <w:rsid w:val="002A0E79"/>
    <w:rsid w:val="002B376C"/>
    <w:rsid w:val="002B3CE3"/>
    <w:rsid w:val="002E1E38"/>
    <w:rsid w:val="002E5BB6"/>
    <w:rsid w:val="002F1CEC"/>
    <w:rsid w:val="003112EC"/>
    <w:rsid w:val="00323520"/>
    <w:rsid w:val="00324276"/>
    <w:rsid w:val="00330DA0"/>
    <w:rsid w:val="00360CC0"/>
    <w:rsid w:val="00370B0F"/>
    <w:rsid w:val="003712DE"/>
    <w:rsid w:val="00372CC6"/>
    <w:rsid w:val="00390F9F"/>
    <w:rsid w:val="003C0367"/>
    <w:rsid w:val="003D0AE5"/>
    <w:rsid w:val="003D2145"/>
    <w:rsid w:val="003E0531"/>
    <w:rsid w:val="003E4343"/>
    <w:rsid w:val="00403990"/>
    <w:rsid w:val="004072B9"/>
    <w:rsid w:val="004146B9"/>
    <w:rsid w:val="00420EFF"/>
    <w:rsid w:val="00422087"/>
    <w:rsid w:val="004301F1"/>
    <w:rsid w:val="00433B25"/>
    <w:rsid w:val="004459D0"/>
    <w:rsid w:val="0047009C"/>
    <w:rsid w:val="00470391"/>
    <w:rsid w:val="00471268"/>
    <w:rsid w:val="00473B8B"/>
    <w:rsid w:val="0047728C"/>
    <w:rsid w:val="004821C8"/>
    <w:rsid w:val="004910DF"/>
    <w:rsid w:val="004A6ACC"/>
    <w:rsid w:val="004B742F"/>
    <w:rsid w:val="004D638E"/>
    <w:rsid w:val="004E205B"/>
    <w:rsid w:val="004E5A7F"/>
    <w:rsid w:val="004F793A"/>
    <w:rsid w:val="00504E74"/>
    <w:rsid w:val="00507A22"/>
    <w:rsid w:val="00513B1A"/>
    <w:rsid w:val="00516A7B"/>
    <w:rsid w:val="0054331D"/>
    <w:rsid w:val="00544F1A"/>
    <w:rsid w:val="005526F8"/>
    <w:rsid w:val="00557F06"/>
    <w:rsid w:val="005B3934"/>
    <w:rsid w:val="005B56DB"/>
    <w:rsid w:val="005C7E7A"/>
    <w:rsid w:val="005D0A67"/>
    <w:rsid w:val="005D613A"/>
    <w:rsid w:val="005E3F1C"/>
    <w:rsid w:val="005E6D41"/>
    <w:rsid w:val="006016D9"/>
    <w:rsid w:val="006024F2"/>
    <w:rsid w:val="00606D35"/>
    <w:rsid w:val="006119F3"/>
    <w:rsid w:val="006138CD"/>
    <w:rsid w:val="00616A8A"/>
    <w:rsid w:val="00632443"/>
    <w:rsid w:val="00641D71"/>
    <w:rsid w:val="0064392B"/>
    <w:rsid w:val="0064514F"/>
    <w:rsid w:val="00651EC2"/>
    <w:rsid w:val="006548EB"/>
    <w:rsid w:val="00654DA6"/>
    <w:rsid w:val="00671B93"/>
    <w:rsid w:val="006835F4"/>
    <w:rsid w:val="00684EBD"/>
    <w:rsid w:val="00687C2F"/>
    <w:rsid w:val="00693441"/>
    <w:rsid w:val="00696DA9"/>
    <w:rsid w:val="006C02BD"/>
    <w:rsid w:val="006F0816"/>
    <w:rsid w:val="006F2A68"/>
    <w:rsid w:val="006F36A2"/>
    <w:rsid w:val="006F4F99"/>
    <w:rsid w:val="006F653C"/>
    <w:rsid w:val="00700561"/>
    <w:rsid w:val="00703F93"/>
    <w:rsid w:val="00724BB7"/>
    <w:rsid w:val="00727A6C"/>
    <w:rsid w:val="00731127"/>
    <w:rsid w:val="0073628F"/>
    <w:rsid w:val="0073720A"/>
    <w:rsid w:val="00747CD6"/>
    <w:rsid w:val="00747F3E"/>
    <w:rsid w:val="007532CC"/>
    <w:rsid w:val="00762ED4"/>
    <w:rsid w:val="00770325"/>
    <w:rsid w:val="00780756"/>
    <w:rsid w:val="007855B1"/>
    <w:rsid w:val="00787A93"/>
    <w:rsid w:val="00791C10"/>
    <w:rsid w:val="007A0F83"/>
    <w:rsid w:val="007A1AE5"/>
    <w:rsid w:val="007B4A40"/>
    <w:rsid w:val="007C0CEE"/>
    <w:rsid w:val="007C20D7"/>
    <w:rsid w:val="007C4C68"/>
    <w:rsid w:val="007C4C9F"/>
    <w:rsid w:val="007D244D"/>
    <w:rsid w:val="007D6E89"/>
    <w:rsid w:val="007E0DA8"/>
    <w:rsid w:val="00801DFD"/>
    <w:rsid w:val="0083558F"/>
    <w:rsid w:val="00843144"/>
    <w:rsid w:val="008457E5"/>
    <w:rsid w:val="00862B7A"/>
    <w:rsid w:val="0086341A"/>
    <w:rsid w:val="00880BE3"/>
    <w:rsid w:val="008A6474"/>
    <w:rsid w:val="008A709D"/>
    <w:rsid w:val="008B0EC3"/>
    <w:rsid w:val="008B0FAB"/>
    <w:rsid w:val="008B7E16"/>
    <w:rsid w:val="008D4FD8"/>
    <w:rsid w:val="008E1B34"/>
    <w:rsid w:val="008E5AAE"/>
    <w:rsid w:val="008F64FE"/>
    <w:rsid w:val="00902748"/>
    <w:rsid w:val="00920B58"/>
    <w:rsid w:val="0092120E"/>
    <w:rsid w:val="00926B0B"/>
    <w:rsid w:val="00932209"/>
    <w:rsid w:val="009378F9"/>
    <w:rsid w:val="00952246"/>
    <w:rsid w:val="009643FE"/>
    <w:rsid w:val="00973EF7"/>
    <w:rsid w:val="0097540B"/>
    <w:rsid w:val="00984C1F"/>
    <w:rsid w:val="0099258E"/>
    <w:rsid w:val="0099333B"/>
    <w:rsid w:val="009959FE"/>
    <w:rsid w:val="009A2714"/>
    <w:rsid w:val="009A6583"/>
    <w:rsid w:val="009B6ACE"/>
    <w:rsid w:val="009C48A7"/>
    <w:rsid w:val="009C502D"/>
    <w:rsid w:val="009D3345"/>
    <w:rsid w:val="009D45E5"/>
    <w:rsid w:val="009E14D7"/>
    <w:rsid w:val="009E4CD0"/>
    <w:rsid w:val="009F145D"/>
    <w:rsid w:val="009F7350"/>
    <w:rsid w:val="00A077BF"/>
    <w:rsid w:val="00A0789E"/>
    <w:rsid w:val="00A14212"/>
    <w:rsid w:val="00A1699C"/>
    <w:rsid w:val="00A269B0"/>
    <w:rsid w:val="00A34FF5"/>
    <w:rsid w:val="00A42B7C"/>
    <w:rsid w:val="00A43A70"/>
    <w:rsid w:val="00A56AE3"/>
    <w:rsid w:val="00A61024"/>
    <w:rsid w:val="00A65915"/>
    <w:rsid w:val="00A660A9"/>
    <w:rsid w:val="00A847B3"/>
    <w:rsid w:val="00A974C2"/>
    <w:rsid w:val="00AA2ECF"/>
    <w:rsid w:val="00AA3903"/>
    <w:rsid w:val="00AD2515"/>
    <w:rsid w:val="00AD516E"/>
    <w:rsid w:val="00AD704F"/>
    <w:rsid w:val="00AE313B"/>
    <w:rsid w:val="00AF64C5"/>
    <w:rsid w:val="00AF7CEB"/>
    <w:rsid w:val="00B0206B"/>
    <w:rsid w:val="00B0744D"/>
    <w:rsid w:val="00B125B5"/>
    <w:rsid w:val="00B13D03"/>
    <w:rsid w:val="00B14B4B"/>
    <w:rsid w:val="00B16FD0"/>
    <w:rsid w:val="00B2191C"/>
    <w:rsid w:val="00B400CE"/>
    <w:rsid w:val="00B4628A"/>
    <w:rsid w:val="00B4747C"/>
    <w:rsid w:val="00B632C7"/>
    <w:rsid w:val="00B7587C"/>
    <w:rsid w:val="00B92C00"/>
    <w:rsid w:val="00BA123C"/>
    <w:rsid w:val="00BA143D"/>
    <w:rsid w:val="00BA64AF"/>
    <w:rsid w:val="00BA7118"/>
    <w:rsid w:val="00BB541D"/>
    <w:rsid w:val="00BB5894"/>
    <w:rsid w:val="00BD213B"/>
    <w:rsid w:val="00BD291D"/>
    <w:rsid w:val="00BD305F"/>
    <w:rsid w:val="00BF1586"/>
    <w:rsid w:val="00BF6D74"/>
    <w:rsid w:val="00C062AD"/>
    <w:rsid w:val="00C06BCA"/>
    <w:rsid w:val="00C30555"/>
    <w:rsid w:val="00C357E1"/>
    <w:rsid w:val="00C3671B"/>
    <w:rsid w:val="00C410B0"/>
    <w:rsid w:val="00C42B08"/>
    <w:rsid w:val="00C60360"/>
    <w:rsid w:val="00C6193D"/>
    <w:rsid w:val="00C62A6C"/>
    <w:rsid w:val="00C7702F"/>
    <w:rsid w:val="00C77F48"/>
    <w:rsid w:val="00C81309"/>
    <w:rsid w:val="00C82538"/>
    <w:rsid w:val="00C97D5D"/>
    <w:rsid w:val="00CA6A56"/>
    <w:rsid w:val="00CA7BDA"/>
    <w:rsid w:val="00CC504E"/>
    <w:rsid w:val="00CC7652"/>
    <w:rsid w:val="00CD2B9D"/>
    <w:rsid w:val="00CE231C"/>
    <w:rsid w:val="00D03C10"/>
    <w:rsid w:val="00D07146"/>
    <w:rsid w:val="00D143D6"/>
    <w:rsid w:val="00D23D8A"/>
    <w:rsid w:val="00D3115F"/>
    <w:rsid w:val="00D338A4"/>
    <w:rsid w:val="00D40823"/>
    <w:rsid w:val="00D42C23"/>
    <w:rsid w:val="00D43B6B"/>
    <w:rsid w:val="00D51977"/>
    <w:rsid w:val="00D73738"/>
    <w:rsid w:val="00D8678B"/>
    <w:rsid w:val="00DA17FE"/>
    <w:rsid w:val="00DA46C1"/>
    <w:rsid w:val="00DA4ECB"/>
    <w:rsid w:val="00DA54D2"/>
    <w:rsid w:val="00DA7CDB"/>
    <w:rsid w:val="00DB5D44"/>
    <w:rsid w:val="00DD0B87"/>
    <w:rsid w:val="00DD22E8"/>
    <w:rsid w:val="00DF00D3"/>
    <w:rsid w:val="00DF4B4B"/>
    <w:rsid w:val="00DF4E75"/>
    <w:rsid w:val="00E02F1E"/>
    <w:rsid w:val="00E2231C"/>
    <w:rsid w:val="00E3653B"/>
    <w:rsid w:val="00E52254"/>
    <w:rsid w:val="00E53FDD"/>
    <w:rsid w:val="00E56137"/>
    <w:rsid w:val="00E56D19"/>
    <w:rsid w:val="00E626E5"/>
    <w:rsid w:val="00E92F7B"/>
    <w:rsid w:val="00E97210"/>
    <w:rsid w:val="00EB0E24"/>
    <w:rsid w:val="00EB2577"/>
    <w:rsid w:val="00EF58DC"/>
    <w:rsid w:val="00F04A09"/>
    <w:rsid w:val="00F22A3E"/>
    <w:rsid w:val="00F24F60"/>
    <w:rsid w:val="00F250D6"/>
    <w:rsid w:val="00F50D50"/>
    <w:rsid w:val="00F54C9F"/>
    <w:rsid w:val="00F67FC1"/>
    <w:rsid w:val="00F75706"/>
    <w:rsid w:val="00F84D11"/>
    <w:rsid w:val="00F90D58"/>
    <w:rsid w:val="00F91414"/>
    <w:rsid w:val="00FB51DA"/>
    <w:rsid w:val="00FE276E"/>
    <w:rsid w:val="00FF3D4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A4A3DC-BC54-48F6-A5BB-CF24B9C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1B9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pPr>
      <w:ind w:left="567"/>
      <w:jc w:val="both"/>
    </w:pPr>
    <w:rPr>
      <w:sz w:val="28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44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13">
    <w:name w:val="1"/>
    <w:basedOn w:val="a"/>
    <w:pPr>
      <w:spacing w:before="280" w:after="280"/>
    </w:pPr>
    <w:rPr>
      <w:rFonts w:ascii="Tahoma" w:hAnsi="Tahoma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link w:val="af2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ntStyle14">
    <w:name w:val="Font Style14"/>
    <w:basedOn w:val="a0"/>
    <w:rsid w:val="00B92C00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rsid w:val="000735F8"/>
    <w:rPr>
      <w:lang w:eastAsia="ar-SA"/>
    </w:rPr>
  </w:style>
  <w:style w:type="character" w:customStyle="1" w:styleId="30">
    <w:name w:val="Заголовок 3 Знак"/>
    <w:basedOn w:val="a0"/>
    <w:link w:val="3"/>
    <w:rsid w:val="00671B93"/>
    <w:rPr>
      <w:rFonts w:ascii="Arial" w:hAnsi="Arial" w:cs="Arial"/>
      <w:b/>
      <w:bCs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671B93"/>
    <w:rPr>
      <w:rFonts w:cs="Times New Roman"/>
      <w:color w:val="008000"/>
    </w:rPr>
  </w:style>
  <w:style w:type="paragraph" w:styleId="20">
    <w:name w:val="Body Text Indent 2"/>
    <w:basedOn w:val="a"/>
    <w:link w:val="22"/>
    <w:uiPriority w:val="99"/>
    <w:semiHidden/>
    <w:unhideWhenUsed/>
    <w:rsid w:val="00727A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727A6C"/>
    <w:rPr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27A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7A6C"/>
    <w:rPr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727A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27A6C"/>
    <w:rPr>
      <w:sz w:val="16"/>
      <w:szCs w:val="16"/>
      <w:lang w:eastAsia="ar-SA"/>
    </w:rPr>
  </w:style>
  <w:style w:type="paragraph" w:customStyle="1" w:styleId="af4">
    <w:name w:val="Документ"/>
    <w:basedOn w:val="a"/>
    <w:rsid w:val="00727A6C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af5">
    <w:name w:val="Block Text"/>
    <w:basedOn w:val="a"/>
    <w:rsid w:val="00727A6C"/>
    <w:pPr>
      <w:widowControl w:val="0"/>
      <w:suppressAutoHyphens w:val="0"/>
      <w:spacing w:line="276" w:lineRule="auto"/>
      <w:ind w:left="-284" w:right="-567" w:firstLine="720"/>
      <w:jc w:val="both"/>
    </w:pPr>
    <w:rPr>
      <w:snapToGrid w:val="0"/>
      <w:sz w:val="24"/>
      <w:lang w:eastAsia="ru-RU"/>
    </w:rPr>
  </w:style>
  <w:style w:type="paragraph" w:customStyle="1" w:styleId="ConsPlusNormal">
    <w:name w:val="ConsPlusNormal"/>
    <w:rsid w:val="00727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5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654DA6"/>
    <w:rPr>
      <w:rFonts w:ascii="Courier New" w:hAnsi="Courier New" w:cs="Courier New"/>
    </w:rPr>
  </w:style>
  <w:style w:type="paragraph" w:styleId="af6">
    <w:name w:val="Normal (Web)"/>
    <w:basedOn w:val="a"/>
    <w:rsid w:val="00097F25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paragraph" w:customStyle="1" w:styleId="ConsNormal">
    <w:name w:val="ConsNormal"/>
    <w:rsid w:val="00DD2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7">
    <w:name w:val="Письмо"/>
    <w:basedOn w:val="a"/>
    <w:rsid w:val="00034BFE"/>
    <w:pPr>
      <w:spacing w:line="360" w:lineRule="auto"/>
      <w:ind w:firstLine="720"/>
      <w:jc w:val="both"/>
    </w:pPr>
    <w:rPr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6835F4"/>
    <w:rPr>
      <w:lang w:eastAsia="ar-SA"/>
    </w:rPr>
  </w:style>
  <w:style w:type="character" w:customStyle="1" w:styleId="aa">
    <w:name w:val="Название Знак"/>
    <w:basedOn w:val="a0"/>
    <w:link w:val="a8"/>
    <w:rsid w:val="00433B25"/>
    <w:rPr>
      <w:sz w:val="4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F54C9F"/>
    <w:rPr>
      <w:lang w:eastAsia="ar-SA"/>
    </w:rPr>
  </w:style>
  <w:style w:type="paragraph" w:customStyle="1" w:styleId="CharChar">
    <w:name w:val="Char Char Знак Знак Знак"/>
    <w:basedOn w:val="a"/>
    <w:rsid w:val="006F4F99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Default">
    <w:name w:val="Default"/>
    <w:rsid w:val="00D338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4A6ACC"/>
    <w:pPr>
      <w:suppressAutoHyphens w:val="0"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5DA8-87EF-49DC-A8BA-B2766577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26463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КСП-АлТем</cp:lastModifiedBy>
  <cp:revision>15</cp:revision>
  <cp:lastPrinted>2024-12-28T11:12:00Z</cp:lastPrinted>
  <dcterms:created xsi:type="dcterms:W3CDTF">2024-01-22T07:11:00Z</dcterms:created>
  <dcterms:modified xsi:type="dcterms:W3CDTF">2024-12-28T11:13:00Z</dcterms:modified>
</cp:coreProperties>
</file>