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D37" w:rsidRPr="00C556D9" w:rsidRDefault="00DE3D37" w:rsidP="00DE3D37">
      <w:pPr>
        <w:autoSpaceDE w:val="0"/>
        <w:autoSpaceDN w:val="0"/>
        <w:adjustRightInd w:val="0"/>
        <w:jc w:val="center"/>
        <w:rPr>
          <w:b/>
        </w:rPr>
      </w:pPr>
      <w:r w:rsidRPr="00C556D9">
        <w:rPr>
          <w:b/>
        </w:rPr>
        <w:t>О результатах проведения экспертизы проектов решений</w:t>
      </w:r>
    </w:p>
    <w:p w:rsidR="00DE3D37" w:rsidRPr="00C556D9" w:rsidRDefault="00DE3D37" w:rsidP="00DE3D37">
      <w:pPr>
        <w:autoSpaceDE w:val="0"/>
        <w:autoSpaceDN w:val="0"/>
        <w:adjustRightInd w:val="0"/>
        <w:jc w:val="center"/>
        <w:rPr>
          <w:b/>
        </w:rPr>
      </w:pPr>
      <w:r w:rsidRPr="00C556D9">
        <w:rPr>
          <w:b/>
        </w:rPr>
        <w:t xml:space="preserve">Совета МО ГО "Сыктывкар" </w:t>
      </w:r>
    </w:p>
    <w:p w:rsidR="00DE3D37" w:rsidRPr="00C556D9" w:rsidRDefault="00DE3D37" w:rsidP="000C25EB">
      <w:pPr>
        <w:pStyle w:val="a6"/>
        <w:spacing w:before="120" w:after="120"/>
        <w:ind w:left="0" w:firstLine="567"/>
        <w:contextualSpacing w:val="0"/>
        <w:jc w:val="both"/>
      </w:pPr>
      <w:r w:rsidRPr="00C556D9">
        <w:t xml:space="preserve">Контрольно-счетная палата муниципального образования городского округа "Сыктывкар" провела экспертизу проектов </w:t>
      </w:r>
      <w:proofErr w:type="gramStart"/>
      <w:r w:rsidRPr="00C556D9">
        <w:t>решений</w:t>
      </w:r>
      <w:proofErr w:type="gramEnd"/>
      <w:r w:rsidRPr="00C556D9">
        <w:t xml:space="preserve"> включенных в повестку заседания Совета МО ГО "Сыктывкар" в </w:t>
      </w:r>
      <w:r w:rsidR="0031573D">
        <w:t>ма</w:t>
      </w:r>
      <w:r w:rsidR="00AB5F3F">
        <w:t>рте</w:t>
      </w:r>
      <w:r w:rsidRPr="00C556D9">
        <w:t xml:space="preserve"> 202</w:t>
      </w:r>
      <w:r w:rsidR="009C0FC5">
        <w:t>5</w:t>
      </w:r>
      <w:r w:rsidRPr="00C556D9">
        <w:t xml:space="preserve"> года.</w:t>
      </w:r>
    </w:p>
    <w:p w:rsidR="0031573D" w:rsidRPr="0031573D" w:rsidRDefault="00DE3D37" w:rsidP="0031573D">
      <w:pPr>
        <w:autoSpaceDE w:val="0"/>
        <w:autoSpaceDN w:val="0"/>
        <w:adjustRightInd w:val="0"/>
        <w:spacing w:before="60"/>
        <w:ind w:firstLine="567"/>
        <w:jc w:val="both"/>
        <w:rPr>
          <w:b/>
        </w:rPr>
      </w:pPr>
      <w:r w:rsidRPr="000C25EB">
        <w:rPr>
          <w:b/>
        </w:rPr>
        <w:t xml:space="preserve">"О внесении изменений в решение Совета МО ГО "Сыктывкар" от </w:t>
      </w:r>
      <w:r w:rsidR="00AB5F3F">
        <w:rPr>
          <w:b/>
        </w:rPr>
        <w:t>14</w:t>
      </w:r>
      <w:r w:rsidR="0031573D" w:rsidRPr="0031573D">
        <w:rPr>
          <w:b/>
        </w:rPr>
        <w:t>.12.202</w:t>
      </w:r>
      <w:r w:rsidR="00AB5F3F">
        <w:rPr>
          <w:b/>
        </w:rPr>
        <w:t>3</w:t>
      </w:r>
      <w:r w:rsidR="0031573D" w:rsidRPr="0031573D">
        <w:rPr>
          <w:b/>
        </w:rPr>
        <w:t xml:space="preserve"> №</w:t>
      </w:r>
      <w:r w:rsidR="0031573D">
        <w:rPr>
          <w:b/>
        </w:rPr>
        <w:t> </w:t>
      </w:r>
      <w:r w:rsidR="00AB5F3F">
        <w:rPr>
          <w:b/>
        </w:rPr>
        <w:t>27</w:t>
      </w:r>
      <w:r w:rsidR="0031573D" w:rsidRPr="0031573D">
        <w:rPr>
          <w:b/>
        </w:rPr>
        <w:t>/202</w:t>
      </w:r>
      <w:r w:rsidR="00AB5F3F">
        <w:rPr>
          <w:b/>
        </w:rPr>
        <w:t>3</w:t>
      </w:r>
      <w:r w:rsidR="0031573D" w:rsidRPr="0031573D">
        <w:rPr>
          <w:b/>
        </w:rPr>
        <w:t>-</w:t>
      </w:r>
      <w:r w:rsidR="00AB5F3F">
        <w:rPr>
          <w:b/>
        </w:rPr>
        <w:t>400</w:t>
      </w:r>
      <w:r w:rsidR="0031573D" w:rsidRPr="0031573D">
        <w:rPr>
          <w:b/>
        </w:rPr>
        <w:t xml:space="preserve"> "О бюджете МО ГО "Сыктывкар" на 202</w:t>
      </w:r>
      <w:r w:rsidR="00AB5F3F">
        <w:rPr>
          <w:b/>
        </w:rPr>
        <w:t>4</w:t>
      </w:r>
      <w:r w:rsidR="0031573D" w:rsidRPr="0031573D">
        <w:rPr>
          <w:b/>
        </w:rPr>
        <w:t xml:space="preserve"> год и плановый период 202</w:t>
      </w:r>
      <w:r w:rsidR="00AB5F3F">
        <w:rPr>
          <w:b/>
        </w:rPr>
        <w:t>5</w:t>
      </w:r>
      <w:r w:rsidR="0031573D" w:rsidRPr="0031573D">
        <w:rPr>
          <w:b/>
        </w:rPr>
        <w:t xml:space="preserve"> и 202</w:t>
      </w:r>
      <w:r w:rsidR="00AB5F3F">
        <w:rPr>
          <w:b/>
        </w:rPr>
        <w:t>6</w:t>
      </w:r>
      <w:r w:rsidR="0031573D" w:rsidRPr="0031573D">
        <w:rPr>
          <w:b/>
        </w:rPr>
        <w:t xml:space="preserve"> годов"</w:t>
      </w:r>
    </w:p>
    <w:p w:rsidR="00DE3D37" w:rsidRPr="009C0FC5" w:rsidRDefault="00DE3D37" w:rsidP="000C25EB">
      <w:pPr>
        <w:autoSpaceDE w:val="0"/>
        <w:autoSpaceDN w:val="0"/>
        <w:adjustRightInd w:val="0"/>
        <w:spacing w:before="60"/>
        <w:ind w:firstLine="567"/>
        <w:jc w:val="both"/>
      </w:pPr>
      <w:r w:rsidRPr="009C0FC5">
        <w:t>Проектом решения предусмотрено увеличение доходной части муниципального бюджета:</w:t>
      </w:r>
    </w:p>
    <w:p w:rsidR="00DE3D37" w:rsidRPr="009C0FC5" w:rsidRDefault="00DE3D37" w:rsidP="000C25EB">
      <w:pPr>
        <w:autoSpaceDE w:val="0"/>
        <w:autoSpaceDN w:val="0"/>
        <w:adjustRightInd w:val="0"/>
        <w:ind w:firstLine="567"/>
        <w:jc w:val="both"/>
      </w:pPr>
      <w:r w:rsidRPr="009C0FC5">
        <w:t>в 202</w:t>
      </w:r>
      <w:r w:rsidR="009C0FC5" w:rsidRPr="009C0FC5">
        <w:t>5</w:t>
      </w:r>
      <w:r w:rsidRPr="009C0FC5">
        <w:t xml:space="preserve"> году с </w:t>
      </w:r>
      <w:r w:rsidR="009C0FC5" w:rsidRPr="009C0FC5">
        <w:t>12 102 500,6</w:t>
      </w:r>
      <w:r w:rsidR="00AB5F3F" w:rsidRPr="009C0FC5">
        <w:t xml:space="preserve"> до </w:t>
      </w:r>
      <w:r w:rsidR="009C0FC5" w:rsidRPr="009C0FC5">
        <w:t>14 465 720,7</w:t>
      </w:r>
      <w:r w:rsidR="00C05C96" w:rsidRPr="009C0FC5">
        <w:t xml:space="preserve"> </w:t>
      </w:r>
      <w:r w:rsidRPr="009C0FC5">
        <w:t>тыс. рублей (+</w:t>
      </w:r>
      <w:r w:rsidR="009C0FC5" w:rsidRPr="009C0FC5">
        <w:t>2 363 220,1</w:t>
      </w:r>
      <w:r w:rsidRPr="009C0FC5">
        <w:t xml:space="preserve"> тыс. рублей);</w:t>
      </w:r>
    </w:p>
    <w:p w:rsidR="00DE3D37" w:rsidRPr="009C0FC5" w:rsidRDefault="00DE3D37" w:rsidP="000C25EB">
      <w:pPr>
        <w:autoSpaceDE w:val="0"/>
        <w:autoSpaceDN w:val="0"/>
        <w:adjustRightInd w:val="0"/>
        <w:ind w:firstLine="567"/>
        <w:jc w:val="both"/>
      </w:pPr>
      <w:r w:rsidRPr="009C0FC5">
        <w:t>в 202</w:t>
      </w:r>
      <w:r w:rsidR="009C0FC5" w:rsidRPr="009C0FC5">
        <w:t>6</w:t>
      </w:r>
      <w:r w:rsidRPr="009C0FC5">
        <w:t xml:space="preserve"> году с </w:t>
      </w:r>
      <w:r w:rsidR="009C0FC5" w:rsidRPr="009C0FC5">
        <w:t>12 325 254,1</w:t>
      </w:r>
      <w:r w:rsidR="00AB5F3F" w:rsidRPr="009C0FC5">
        <w:t xml:space="preserve"> до</w:t>
      </w:r>
      <w:r w:rsidR="00AB5F3F" w:rsidRPr="009C0FC5">
        <w:rPr>
          <w:b/>
        </w:rPr>
        <w:t xml:space="preserve"> </w:t>
      </w:r>
      <w:r w:rsidR="009C0FC5" w:rsidRPr="009C0FC5">
        <w:t xml:space="preserve">14 016 947,3 </w:t>
      </w:r>
      <w:r w:rsidRPr="009C0FC5">
        <w:t>тыс. рублей (+</w:t>
      </w:r>
      <w:r w:rsidR="009C0FC5" w:rsidRPr="009C0FC5">
        <w:t xml:space="preserve">1 691 693,2 </w:t>
      </w:r>
      <w:r w:rsidRPr="009C0FC5">
        <w:t>тыс. рублей);</w:t>
      </w:r>
    </w:p>
    <w:p w:rsidR="00DE3D37" w:rsidRPr="009C0FC5" w:rsidRDefault="00DE3D37" w:rsidP="000C25EB">
      <w:pPr>
        <w:autoSpaceDE w:val="0"/>
        <w:autoSpaceDN w:val="0"/>
        <w:adjustRightInd w:val="0"/>
        <w:ind w:firstLine="567"/>
        <w:jc w:val="both"/>
      </w:pPr>
      <w:r w:rsidRPr="009C0FC5">
        <w:t>в 202</w:t>
      </w:r>
      <w:r w:rsidR="009C0FC5" w:rsidRPr="009C0FC5">
        <w:t>7</w:t>
      </w:r>
      <w:r w:rsidRPr="009C0FC5">
        <w:t xml:space="preserve"> году с </w:t>
      </w:r>
      <w:r w:rsidR="009C0FC5" w:rsidRPr="009C0FC5">
        <w:t>12 532 535,4</w:t>
      </w:r>
      <w:r w:rsidR="00AB5F3F" w:rsidRPr="009C0FC5">
        <w:t xml:space="preserve"> до </w:t>
      </w:r>
      <w:r w:rsidR="009C0FC5" w:rsidRPr="009C0FC5">
        <w:t>13 987 049,3</w:t>
      </w:r>
      <w:r w:rsidRPr="009C0FC5">
        <w:t xml:space="preserve"> тыс. рублей (+</w:t>
      </w:r>
      <w:r w:rsidR="009C0FC5" w:rsidRPr="009C0FC5">
        <w:t>1 454 513,9</w:t>
      </w:r>
      <w:r w:rsidRPr="009C0FC5">
        <w:t xml:space="preserve"> тыс. рублей).</w:t>
      </w:r>
    </w:p>
    <w:p w:rsidR="00DE3D37" w:rsidRPr="00EB339A" w:rsidRDefault="00DE3D37" w:rsidP="000C25EB">
      <w:pPr>
        <w:autoSpaceDE w:val="0"/>
        <w:autoSpaceDN w:val="0"/>
        <w:adjustRightInd w:val="0"/>
        <w:ind w:firstLine="567"/>
        <w:jc w:val="both"/>
      </w:pPr>
      <w:r w:rsidRPr="00EB339A">
        <w:t xml:space="preserve">Проектом решения предусмотрено увеличение общего объема расходов муниципального бюджета: </w:t>
      </w:r>
    </w:p>
    <w:p w:rsidR="00DE3D37" w:rsidRPr="00EB339A" w:rsidRDefault="00DE3D37" w:rsidP="000C25EB">
      <w:pPr>
        <w:autoSpaceDE w:val="0"/>
        <w:autoSpaceDN w:val="0"/>
        <w:adjustRightInd w:val="0"/>
        <w:ind w:firstLine="567"/>
        <w:jc w:val="both"/>
      </w:pPr>
      <w:r w:rsidRPr="00EB339A">
        <w:t>в 202</w:t>
      </w:r>
      <w:r w:rsidR="009C0FC5" w:rsidRPr="00EB339A">
        <w:t>5</w:t>
      </w:r>
      <w:r w:rsidRPr="00EB339A">
        <w:t xml:space="preserve"> году с </w:t>
      </w:r>
      <w:r w:rsidR="009C0FC5" w:rsidRPr="00EB339A">
        <w:t>12 617 392,8</w:t>
      </w:r>
      <w:r w:rsidR="00AB5F3F" w:rsidRPr="00EB339A">
        <w:t xml:space="preserve"> до </w:t>
      </w:r>
      <w:r w:rsidR="00EB339A" w:rsidRPr="00EB339A">
        <w:t>15 141 272,1</w:t>
      </w:r>
      <w:r w:rsidR="00AB5F3F" w:rsidRPr="00EB339A">
        <w:t xml:space="preserve"> </w:t>
      </w:r>
      <w:r w:rsidRPr="00EB339A">
        <w:t>тыс. рублей (+</w:t>
      </w:r>
      <w:r w:rsidR="00EB339A" w:rsidRPr="00EB339A">
        <w:t>2 523 879,3</w:t>
      </w:r>
      <w:r w:rsidR="00AB5F3F" w:rsidRPr="00EB339A">
        <w:t xml:space="preserve"> </w:t>
      </w:r>
      <w:r w:rsidRPr="00EB339A">
        <w:t>тыс. рублей);</w:t>
      </w:r>
    </w:p>
    <w:p w:rsidR="00DE3D37" w:rsidRPr="00EB339A" w:rsidRDefault="00DE3D37" w:rsidP="000C25EB">
      <w:pPr>
        <w:autoSpaceDE w:val="0"/>
        <w:autoSpaceDN w:val="0"/>
        <w:adjustRightInd w:val="0"/>
        <w:ind w:firstLine="567"/>
        <w:jc w:val="both"/>
      </w:pPr>
      <w:r w:rsidRPr="00EB339A">
        <w:t>в 202</w:t>
      </w:r>
      <w:r w:rsidR="009C0FC5" w:rsidRPr="00EB339A">
        <w:t>6</w:t>
      </w:r>
      <w:r w:rsidRPr="00EB339A">
        <w:t xml:space="preserve"> году с </w:t>
      </w:r>
      <w:r w:rsidR="00EB339A" w:rsidRPr="00EB339A">
        <w:t>12 864 888,4</w:t>
      </w:r>
      <w:r w:rsidR="00AB5F3F" w:rsidRPr="00EB339A">
        <w:t xml:space="preserve"> до </w:t>
      </w:r>
      <w:r w:rsidR="00EB339A" w:rsidRPr="00EB339A">
        <w:t>14 556 581,6</w:t>
      </w:r>
      <w:r w:rsidR="00AB5F3F" w:rsidRPr="00EB339A">
        <w:t xml:space="preserve"> </w:t>
      </w:r>
      <w:r w:rsidRPr="00EB339A">
        <w:t xml:space="preserve">тыс. рублей </w:t>
      </w:r>
      <w:r w:rsidR="00EB339A" w:rsidRPr="00EB339A">
        <w:t xml:space="preserve">(+1 691 693,2 </w:t>
      </w:r>
      <w:r w:rsidRPr="00EB339A">
        <w:t>тыс. рублей);</w:t>
      </w:r>
    </w:p>
    <w:p w:rsidR="00DE3D37" w:rsidRPr="00EB339A" w:rsidRDefault="00DE3D37" w:rsidP="000C25EB">
      <w:pPr>
        <w:autoSpaceDE w:val="0"/>
        <w:autoSpaceDN w:val="0"/>
        <w:adjustRightInd w:val="0"/>
        <w:ind w:firstLine="567"/>
        <w:jc w:val="both"/>
      </w:pPr>
      <w:r w:rsidRPr="00EB339A">
        <w:t>в 202</w:t>
      </w:r>
      <w:r w:rsidR="009C0FC5" w:rsidRPr="00EB339A">
        <w:t>7</w:t>
      </w:r>
      <w:r w:rsidRPr="00EB339A">
        <w:t xml:space="preserve"> году с </w:t>
      </w:r>
      <w:r w:rsidR="00EB339A" w:rsidRPr="00EB339A">
        <w:t>13 076 959,8</w:t>
      </w:r>
      <w:r w:rsidR="00AB5F3F" w:rsidRPr="00EB339A">
        <w:t xml:space="preserve"> до </w:t>
      </w:r>
      <w:r w:rsidR="00EB339A" w:rsidRPr="00EB339A">
        <w:t>14 531 473,7</w:t>
      </w:r>
      <w:r w:rsidR="00AB5F3F" w:rsidRPr="00EB339A">
        <w:t xml:space="preserve"> </w:t>
      </w:r>
      <w:r w:rsidRPr="00EB339A">
        <w:t>тыс. рублей (+</w:t>
      </w:r>
      <w:r w:rsidR="00EB339A" w:rsidRPr="00EB339A">
        <w:t>1 454 513,9</w:t>
      </w:r>
      <w:r w:rsidRPr="00EB339A">
        <w:t xml:space="preserve"> тыс. рублей).</w:t>
      </w:r>
    </w:p>
    <w:p w:rsidR="00DE3D37" w:rsidRPr="00EB339A" w:rsidRDefault="00DE3D37" w:rsidP="000C25EB">
      <w:pPr>
        <w:autoSpaceDE w:val="0"/>
        <w:autoSpaceDN w:val="0"/>
        <w:adjustRightInd w:val="0"/>
        <w:spacing w:before="60"/>
        <w:ind w:firstLine="567"/>
        <w:jc w:val="both"/>
      </w:pPr>
      <w:r w:rsidRPr="00EB339A">
        <w:t>Основные причины изменений, вносимых в расходную часть бюджета:</w:t>
      </w:r>
    </w:p>
    <w:p w:rsidR="00DE3D37" w:rsidRPr="00EB339A" w:rsidRDefault="00DE3D37" w:rsidP="000C25EB">
      <w:pPr>
        <w:autoSpaceDE w:val="0"/>
        <w:autoSpaceDN w:val="0"/>
        <w:adjustRightInd w:val="0"/>
        <w:ind w:firstLine="567"/>
        <w:jc w:val="both"/>
      </w:pPr>
      <w:r w:rsidRPr="00EB339A">
        <w:t>- увеличение объема налоговых и неналоговых доходов;</w:t>
      </w:r>
    </w:p>
    <w:p w:rsidR="00DE3D37" w:rsidRPr="00EB339A" w:rsidRDefault="00DE3D37" w:rsidP="000C25EB">
      <w:pPr>
        <w:autoSpaceDE w:val="0"/>
        <w:autoSpaceDN w:val="0"/>
        <w:adjustRightInd w:val="0"/>
        <w:ind w:firstLine="567"/>
        <w:jc w:val="both"/>
      </w:pPr>
      <w:r w:rsidRPr="00EB339A">
        <w:t xml:space="preserve">- </w:t>
      </w:r>
      <w:r w:rsidR="00EB339A" w:rsidRPr="00EB339A">
        <w:t>увелич</w:t>
      </w:r>
      <w:r w:rsidRPr="00EB339A">
        <w:t>ение объема безвозмездных поступлений;</w:t>
      </w:r>
    </w:p>
    <w:p w:rsidR="00DE3D37" w:rsidRPr="00EB339A" w:rsidRDefault="00DE3D37" w:rsidP="000C25EB">
      <w:pPr>
        <w:autoSpaceDE w:val="0"/>
        <w:autoSpaceDN w:val="0"/>
        <w:adjustRightInd w:val="0"/>
        <w:ind w:firstLine="567"/>
        <w:jc w:val="both"/>
      </w:pPr>
      <w:r w:rsidRPr="00EB339A">
        <w:t>- распределение не использованных остатков средств муниципального бюджета, а так же безвозмездных поступлений, имеющих целевое назначение, сложившихся по состоянию на 01.01.202</w:t>
      </w:r>
      <w:r w:rsidR="00EB339A" w:rsidRPr="00EB339A">
        <w:t>5</w:t>
      </w:r>
      <w:r w:rsidR="00F80FC2" w:rsidRPr="00EB339A">
        <w:t>.</w:t>
      </w:r>
    </w:p>
    <w:p w:rsidR="00DE3D37" w:rsidRPr="00EB339A" w:rsidRDefault="00DE3D37" w:rsidP="000C25EB">
      <w:pPr>
        <w:autoSpaceDE w:val="0"/>
        <w:autoSpaceDN w:val="0"/>
        <w:adjustRightInd w:val="0"/>
        <w:spacing w:before="60"/>
        <w:ind w:firstLine="567"/>
        <w:jc w:val="both"/>
      </w:pPr>
      <w:r w:rsidRPr="00EB339A">
        <w:t>Прогнозируемый размер дефицита бюджета:</w:t>
      </w:r>
    </w:p>
    <w:p w:rsidR="00EB339A" w:rsidRPr="00EB339A" w:rsidRDefault="00EB339A" w:rsidP="00EB339A">
      <w:pPr>
        <w:autoSpaceDE w:val="0"/>
        <w:autoSpaceDN w:val="0"/>
        <w:adjustRightInd w:val="0"/>
        <w:ind w:firstLine="567"/>
        <w:jc w:val="both"/>
      </w:pPr>
      <w:r w:rsidRPr="00EB339A">
        <w:t xml:space="preserve">2025 год </w:t>
      </w:r>
      <w:r w:rsidRPr="00EB339A">
        <w:rPr>
          <w:bCs/>
        </w:rPr>
        <w:t>–</w:t>
      </w:r>
      <w:r w:rsidRPr="00EB339A">
        <w:t xml:space="preserve"> 675 551,4 тыс. рублей (+160 659,2 тыс. рублей);</w:t>
      </w:r>
    </w:p>
    <w:p w:rsidR="00EB339A" w:rsidRPr="00EB339A" w:rsidRDefault="00EB339A" w:rsidP="00EB339A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B339A">
        <w:rPr>
          <w:bCs/>
        </w:rPr>
        <w:t>2026 год – 539 634,3 тыс. рублей (без изменений);</w:t>
      </w:r>
    </w:p>
    <w:p w:rsidR="00EB339A" w:rsidRPr="00EB339A" w:rsidRDefault="00EB339A" w:rsidP="00EB339A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B339A">
        <w:rPr>
          <w:bCs/>
        </w:rPr>
        <w:t>2027 год – 544 424,4 тыс. рублей (без изменений).</w:t>
      </w:r>
    </w:p>
    <w:p w:rsidR="00DE3D37" w:rsidRPr="00EB339A" w:rsidRDefault="00DE3D37" w:rsidP="000C25EB">
      <w:pPr>
        <w:autoSpaceDE w:val="0"/>
        <w:autoSpaceDN w:val="0"/>
        <w:adjustRightInd w:val="0"/>
        <w:ind w:firstLine="567"/>
        <w:jc w:val="both"/>
      </w:pPr>
      <w:r w:rsidRPr="00EB339A">
        <w:t>Планируемый размер дефицита бюджета на текущий финансовый год и на плановый период не противоречит требованиям пункта 3 статьи 92.1 Бюджетного кодекса Российской Федерации и в соответствии с требованиями бюджетного законодательства в полном объеме покрывается источниками финансирования дефицита бюджета.</w:t>
      </w:r>
    </w:p>
    <w:p w:rsidR="00440E16" w:rsidRPr="00440E16" w:rsidRDefault="00440E16" w:rsidP="00440E16">
      <w:pPr>
        <w:autoSpaceDE w:val="0"/>
        <w:autoSpaceDN w:val="0"/>
        <w:adjustRightInd w:val="0"/>
        <w:spacing w:before="120"/>
        <w:ind w:firstLine="567"/>
        <w:jc w:val="both"/>
      </w:pPr>
      <w:r w:rsidRPr="00440E16">
        <w:t>Предусмотренные решением о бюджете объемы привлечения и погашения бюджетных кредитов не меняются. Вместе с тем, в 2025 году срок пользования бюджетным кредитом на пополнение остатка средств на едином счете бюджета в соответствии с дополнительным соглашением № 1 от 05.03.2025 к Договору о предоставлении субъекту Российской Федерации (муниципальному образованию) бюджетного кредита на пополнение остатка средств на едином счете бюджета сокращен с 30.12.2025 до 31.07.2025.</w:t>
      </w:r>
    </w:p>
    <w:p w:rsidR="00440E16" w:rsidRDefault="00440E16" w:rsidP="00440E16">
      <w:pPr>
        <w:autoSpaceDE w:val="0"/>
        <w:autoSpaceDN w:val="0"/>
        <w:adjustRightInd w:val="0"/>
        <w:ind w:firstLine="567"/>
        <w:jc w:val="both"/>
      </w:pPr>
      <w:r w:rsidRPr="00440E16">
        <w:t xml:space="preserve">В связи с этим Проектом решения предлагается увеличить в 2025 году объемы привлечения  и погашения кредитов от кредитных организаций на 3 000 000,0 тыс. рублей и </w:t>
      </w:r>
      <w:r w:rsidRPr="00440E16">
        <w:rPr>
          <w:bCs/>
        </w:rPr>
        <w:t>расходы на обслуживание муниципального долга на 30 000,0 тыс. рублей (с 96 241,7 до 126 241,7 тыс. рублей).</w:t>
      </w:r>
    </w:p>
    <w:p w:rsidR="00440E16" w:rsidRPr="00EB339A" w:rsidRDefault="00440E16" w:rsidP="00440E16">
      <w:pPr>
        <w:autoSpaceDE w:val="0"/>
        <w:autoSpaceDN w:val="0"/>
        <w:adjustRightInd w:val="0"/>
        <w:spacing w:before="120"/>
        <w:ind w:firstLine="567"/>
        <w:jc w:val="both"/>
      </w:pPr>
      <w:r w:rsidRPr="00EB339A">
        <w:t xml:space="preserve">Проектом решения предлагается уменьшить плановые значения </w:t>
      </w:r>
      <w:r w:rsidRPr="00EB339A">
        <w:rPr>
          <w:i/>
        </w:rPr>
        <w:t>верхнего предела муниципального долга</w:t>
      </w:r>
      <w:r w:rsidRPr="00EB339A">
        <w:t xml:space="preserve"> по итогам 2025-2027 годов на 151 712,9 тыс. рублей:</w:t>
      </w:r>
    </w:p>
    <w:p w:rsidR="00440E16" w:rsidRPr="00EB339A" w:rsidRDefault="00440E16" w:rsidP="00440E16">
      <w:pPr>
        <w:autoSpaceDE w:val="0"/>
        <w:autoSpaceDN w:val="0"/>
        <w:adjustRightInd w:val="0"/>
        <w:ind w:firstLine="567"/>
        <w:jc w:val="both"/>
      </w:pPr>
      <w:r w:rsidRPr="00EB339A">
        <w:t>по состоянию на 1 января 2026 года с 2 368 865,3 до 2 217 152,4 тыс. рублей;</w:t>
      </w:r>
    </w:p>
    <w:p w:rsidR="00440E16" w:rsidRPr="00EB339A" w:rsidRDefault="00440E16" w:rsidP="00440E16">
      <w:pPr>
        <w:autoSpaceDE w:val="0"/>
        <w:autoSpaceDN w:val="0"/>
        <w:adjustRightInd w:val="0"/>
        <w:ind w:firstLine="567"/>
        <w:jc w:val="both"/>
      </w:pPr>
      <w:r w:rsidRPr="00EB339A">
        <w:t>по состоянию на 1 января 2027 года с 2 908 499,6 до 2 756 786,7 тыс. рублей;</w:t>
      </w:r>
    </w:p>
    <w:p w:rsidR="00440E16" w:rsidRPr="00EB339A" w:rsidRDefault="00440E16" w:rsidP="00440E16">
      <w:pPr>
        <w:autoSpaceDE w:val="0"/>
        <w:autoSpaceDN w:val="0"/>
        <w:adjustRightInd w:val="0"/>
        <w:ind w:firstLine="567"/>
        <w:jc w:val="both"/>
      </w:pPr>
      <w:r w:rsidRPr="00EB339A">
        <w:t>по состоянию на 1 января 2028 года с 3 452 924,0 до 3 301 211,1 тыс. рублей.</w:t>
      </w:r>
    </w:p>
    <w:p w:rsidR="00440E16" w:rsidRPr="00EB339A" w:rsidRDefault="00440E16" w:rsidP="00440E16">
      <w:pPr>
        <w:ind w:firstLine="567"/>
        <w:jc w:val="both"/>
      </w:pPr>
      <w:r w:rsidRPr="00EB339A">
        <w:t>С учетом источников финансирования дефицита бюджета соблюден принцип сбалансированности по доходам и по расходам в соответствии с требованиями статьи 33 Бюджетного кодекса Российской Федерации.</w:t>
      </w:r>
    </w:p>
    <w:p w:rsidR="00440E16" w:rsidRDefault="00440E16" w:rsidP="00A507C7">
      <w:pPr>
        <w:autoSpaceDE w:val="0"/>
        <w:autoSpaceDN w:val="0"/>
        <w:adjustRightInd w:val="0"/>
        <w:spacing w:before="120"/>
        <w:ind w:firstLine="567"/>
        <w:jc w:val="both"/>
      </w:pPr>
    </w:p>
    <w:p w:rsidR="00A507C7" w:rsidRPr="00EB339A" w:rsidRDefault="00A507C7" w:rsidP="00A507C7">
      <w:pPr>
        <w:autoSpaceDE w:val="0"/>
        <w:autoSpaceDN w:val="0"/>
        <w:adjustRightInd w:val="0"/>
        <w:spacing w:before="120"/>
        <w:ind w:firstLine="567"/>
        <w:jc w:val="both"/>
      </w:pPr>
      <w:r w:rsidRPr="00EB339A">
        <w:lastRenderedPageBreak/>
        <w:t xml:space="preserve">Проектом решения предусмотрено </w:t>
      </w:r>
      <w:r w:rsidR="00EB339A" w:rsidRPr="00EB339A">
        <w:t>увелич</w:t>
      </w:r>
      <w:r w:rsidRPr="00EB339A">
        <w:t>ение объема бюджетных ассигнований</w:t>
      </w:r>
      <w:r w:rsidRPr="00EB339A">
        <w:rPr>
          <w:b/>
        </w:rPr>
        <w:t xml:space="preserve"> </w:t>
      </w:r>
      <w:r w:rsidRPr="00EB339A">
        <w:t>на реализацию инвестиционных проектов, финансируемых за счет бюджетных средств:</w:t>
      </w:r>
    </w:p>
    <w:p w:rsidR="00EB339A" w:rsidRPr="00EB339A" w:rsidRDefault="00EB339A" w:rsidP="00EB339A">
      <w:pPr>
        <w:autoSpaceDE w:val="0"/>
        <w:autoSpaceDN w:val="0"/>
        <w:adjustRightInd w:val="0"/>
        <w:ind w:firstLine="567"/>
        <w:jc w:val="both"/>
      </w:pPr>
      <w:r w:rsidRPr="00EB339A">
        <w:t>2025 год – на 200 988,2 тыс. рублей (с 814 503,7 до 1 015 491,9 тыс. рублей);</w:t>
      </w:r>
    </w:p>
    <w:p w:rsidR="00EB339A" w:rsidRPr="00EB339A" w:rsidRDefault="00EB339A" w:rsidP="00EB339A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B339A">
        <w:rPr>
          <w:bCs/>
        </w:rPr>
        <w:t>2026 год – на 221 895,7 тыс. рублей (с 581 233,4 до 803 129,1 тыс. рублей);</w:t>
      </w:r>
    </w:p>
    <w:p w:rsidR="00EB339A" w:rsidRPr="00EB339A" w:rsidRDefault="00EB339A" w:rsidP="00EB339A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B339A">
        <w:rPr>
          <w:bCs/>
        </w:rPr>
        <w:t>2027 год – без изменений (560 400,2 тыс. рублей).</w:t>
      </w:r>
    </w:p>
    <w:p w:rsidR="00A507C7" w:rsidRPr="00EB339A" w:rsidRDefault="00A507C7" w:rsidP="00A507C7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B339A">
        <w:rPr>
          <w:bCs/>
        </w:rPr>
        <w:t>В перечень инвестиционных проектов планируется внести следующие изменения:</w:t>
      </w:r>
    </w:p>
    <w:p w:rsidR="00EB339A" w:rsidRPr="00EB339A" w:rsidRDefault="00EB339A" w:rsidP="00EB339A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B339A">
        <w:rPr>
          <w:bCs/>
        </w:rPr>
        <w:t>- включить 6 проектов:</w:t>
      </w:r>
    </w:p>
    <w:p w:rsidR="00EB339A" w:rsidRPr="00EB339A" w:rsidRDefault="00EB339A" w:rsidP="00EB339A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B339A">
        <w:rPr>
          <w:bCs/>
        </w:rPr>
        <w:t>Корпус школы на 600 мест в районе улиц Орджоникидзе - Карла Маркса - Красных партизан с объемом финансирования в 2025 году 4 192,5 тыс. рублей;</w:t>
      </w:r>
    </w:p>
    <w:p w:rsidR="00EB339A" w:rsidRPr="00EB339A" w:rsidRDefault="00EB339A" w:rsidP="00EB339A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B339A">
        <w:rPr>
          <w:bCs/>
        </w:rPr>
        <w:t>Лыжная база, ул. Лесопарковая с объемом финансирования в 2025 году 13 560,0 тыс. рублей (республиканский бюджет – 11 301,1 тыс. рублей, муниципальный бюджет – 2 258,9 тыс. рублей);</w:t>
      </w:r>
    </w:p>
    <w:p w:rsidR="00EB339A" w:rsidRPr="00EB339A" w:rsidRDefault="00EB339A" w:rsidP="00EB339A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B339A">
        <w:rPr>
          <w:bCs/>
        </w:rPr>
        <w:t>Напорный канализационный коллектор от п.г.т. Краснозатонский до ЛДК с объемом финансирования в 2025 году 211 762,7 тыс. рублей (федеральный бюджет – 123 418,9 тыс. рублей, республиканский бюджет – 71 648,1 тыс. рублей, муниципальный бюджет – 16 695,7 тыс. рублей), в 2026 году 228 146,5 тыс. рублей (федеральный бюджет – 133 373,8 тыс. рублей, республиканский бюджет – 77 427,1 тыс. рублей, муниципальный бюджет – 17 345,6 тыс. рублей);</w:t>
      </w:r>
    </w:p>
    <w:p w:rsidR="00EB339A" w:rsidRPr="00EB339A" w:rsidRDefault="00EB339A" w:rsidP="00EB339A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B339A">
        <w:rPr>
          <w:bCs/>
        </w:rPr>
        <w:t xml:space="preserve">Реконструкция моста через р. </w:t>
      </w:r>
      <w:proofErr w:type="spellStart"/>
      <w:r w:rsidRPr="00EB339A">
        <w:rPr>
          <w:bCs/>
        </w:rPr>
        <w:t>Емвалька</w:t>
      </w:r>
      <w:proofErr w:type="spellEnd"/>
      <w:r w:rsidRPr="00EB339A">
        <w:rPr>
          <w:bCs/>
        </w:rPr>
        <w:t xml:space="preserve"> на автомобильной дороге от ул. Лесная до дачного общества "Панель" с объемом финансирования в 2025 году 50,0 тыс. рублей;</w:t>
      </w:r>
    </w:p>
    <w:p w:rsidR="00EB339A" w:rsidRPr="00EB339A" w:rsidRDefault="00EB339A" w:rsidP="00EB339A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B339A">
        <w:rPr>
          <w:bCs/>
        </w:rPr>
        <w:t>Реконструкция автодороги "Сыктывкар - Эжвинский район", на участке от моста через р. Човью до ул. Славы г. Сыктывкара с объемом финансирования в 2025 году 8 214,6 тыс. рублей;</w:t>
      </w:r>
    </w:p>
    <w:p w:rsidR="00EB339A" w:rsidRPr="00EB339A" w:rsidRDefault="00EB339A" w:rsidP="00EB339A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B339A">
        <w:rPr>
          <w:bCs/>
        </w:rPr>
        <w:t xml:space="preserve">Заезд от парковки телецентра в микрорайоне Орбита до границы земельного участка ГУДО РК "Республиканский центр экологического образования" (вдоль Октябрьского проспекта) с объемом финансирования в 2025 году 1 807,7 тыс. рублей. </w:t>
      </w:r>
    </w:p>
    <w:p w:rsidR="00EB339A" w:rsidRPr="00EB339A" w:rsidRDefault="00EB339A" w:rsidP="00EB339A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B339A">
        <w:rPr>
          <w:bCs/>
        </w:rPr>
        <w:t>- изменить финансирование по 9 проектам.</w:t>
      </w:r>
    </w:p>
    <w:p w:rsidR="007105D4" w:rsidRPr="006521C0" w:rsidRDefault="007105D4" w:rsidP="007105D4">
      <w:pPr>
        <w:autoSpaceDE w:val="0"/>
        <w:autoSpaceDN w:val="0"/>
        <w:adjustRightInd w:val="0"/>
        <w:spacing w:before="60" w:line="233" w:lineRule="auto"/>
        <w:ind w:firstLine="567"/>
        <w:jc w:val="both"/>
        <w:outlineLvl w:val="1"/>
      </w:pPr>
      <w:r w:rsidRPr="006521C0">
        <w:t xml:space="preserve">Проектом решения предлагается дополнить статью 16 решения о бюджете пунктом 2 следующего содержания: "Установить, что в 2025 году за счет средств бюджета МО ГО "Сыктывкар" осуществляется предоставление субсидии на финансовое обеспечение затрат, связанных с погашением части просроченной кредиторской задолженности </w:t>
      </w:r>
      <w:proofErr w:type="spellStart"/>
      <w:r w:rsidRPr="006521C0">
        <w:t>СМУП</w:t>
      </w:r>
      <w:proofErr w:type="spellEnd"/>
      <w:r w:rsidRPr="006521C0">
        <w:t xml:space="preserve"> </w:t>
      </w:r>
      <w:proofErr w:type="spellStart"/>
      <w:r w:rsidRPr="006521C0">
        <w:t>ПиТ</w:t>
      </w:r>
      <w:proofErr w:type="spellEnd"/>
      <w:r w:rsidRPr="006521C0">
        <w:t xml:space="preserve"> "Восторг", образовавшейся по состоянию на 01 марта 2025 года. Порядок предоставления указанной субсидии утверждается администрацией МО ГО "Сыктывкар" с учетом требований, установленных Бюджетным кодексом Российской Федерации.".</w:t>
      </w:r>
    </w:p>
    <w:p w:rsidR="007105D4" w:rsidRPr="006521C0" w:rsidRDefault="007105D4" w:rsidP="007105D4">
      <w:pPr>
        <w:autoSpaceDE w:val="0"/>
        <w:autoSpaceDN w:val="0"/>
        <w:adjustRightInd w:val="0"/>
        <w:spacing w:line="233" w:lineRule="auto"/>
        <w:ind w:firstLine="567"/>
        <w:jc w:val="both"/>
        <w:outlineLvl w:val="1"/>
      </w:pPr>
      <w:r w:rsidRPr="006521C0">
        <w:t xml:space="preserve">Согласно пояснительной записке, представленной с Проектом решения, на предоставление субсидии </w:t>
      </w:r>
      <w:proofErr w:type="spellStart"/>
      <w:r w:rsidRPr="006521C0">
        <w:t>СМУП</w:t>
      </w:r>
      <w:proofErr w:type="spellEnd"/>
      <w:r w:rsidRPr="006521C0">
        <w:t xml:space="preserve"> </w:t>
      </w:r>
      <w:proofErr w:type="spellStart"/>
      <w:r w:rsidRPr="006521C0">
        <w:t>ПиТ</w:t>
      </w:r>
      <w:proofErr w:type="spellEnd"/>
      <w:r w:rsidRPr="006521C0">
        <w:t xml:space="preserve"> "Восторг" предусмотрены бюджетные ассигнования в размере 34 500,0 тыс. рублей. </w:t>
      </w:r>
    </w:p>
    <w:p w:rsidR="007105D4" w:rsidRPr="006521C0" w:rsidRDefault="006521C0" w:rsidP="007105D4">
      <w:pPr>
        <w:autoSpaceDE w:val="0"/>
        <w:autoSpaceDN w:val="0"/>
        <w:adjustRightInd w:val="0"/>
        <w:spacing w:line="233" w:lineRule="auto"/>
        <w:ind w:firstLine="567"/>
        <w:jc w:val="both"/>
        <w:outlineLvl w:val="1"/>
      </w:pPr>
      <w:r w:rsidRPr="006521C0">
        <w:t>В заключении Контрольно-счетной палаты указано, что з</w:t>
      </w:r>
      <w:r w:rsidR="007105D4" w:rsidRPr="006521C0">
        <w:t>начительный объем просроченной кредиторской задолженности свидетельствует о нестабильном финансовом состоянии предприят</w:t>
      </w:r>
      <w:r w:rsidRPr="006521C0">
        <w:t>ия и его убыточной деятельности, и вынесено предложение о необходимости проведения</w:t>
      </w:r>
      <w:r w:rsidR="007105D4" w:rsidRPr="006521C0">
        <w:t xml:space="preserve"> анализа финансово-хозяйственной деятельности </w:t>
      </w:r>
      <w:proofErr w:type="spellStart"/>
      <w:r w:rsidR="007105D4" w:rsidRPr="006521C0">
        <w:t>СМУП</w:t>
      </w:r>
      <w:proofErr w:type="spellEnd"/>
      <w:r w:rsidR="007105D4" w:rsidRPr="006521C0">
        <w:t xml:space="preserve"> </w:t>
      </w:r>
      <w:proofErr w:type="spellStart"/>
      <w:r w:rsidR="007105D4" w:rsidRPr="006521C0">
        <w:t>ПиТ</w:t>
      </w:r>
      <w:proofErr w:type="spellEnd"/>
      <w:r w:rsidR="007105D4" w:rsidRPr="006521C0">
        <w:t xml:space="preserve"> "Восторг" и приняти</w:t>
      </w:r>
      <w:r w:rsidRPr="006521C0">
        <w:t>я</w:t>
      </w:r>
      <w:r w:rsidR="007105D4" w:rsidRPr="006521C0">
        <w:t xml:space="preserve"> решений по укреплению его финансово-экономического положения.</w:t>
      </w:r>
    </w:p>
    <w:p w:rsidR="006C048E" w:rsidRDefault="006C048E" w:rsidP="000C25EB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BF7774" w:rsidRPr="00C556D9" w:rsidRDefault="00BF7774" w:rsidP="00BF7774">
      <w:pPr>
        <w:autoSpaceDE w:val="0"/>
        <w:autoSpaceDN w:val="0"/>
        <w:adjustRightInd w:val="0"/>
        <w:jc w:val="center"/>
        <w:rPr>
          <w:b/>
        </w:rPr>
      </w:pPr>
      <w:r w:rsidRPr="00F27B6E">
        <w:rPr>
          <w:b/>
        </w:rPr>
        <w:t>"Об осуществлении перевозок внутренним водным транспортом на территории МО ГО "Сыктывкар" в 2025 году"</w:t>
      </w:r>
    </w:p>
    <w:p w:rsidR="00BF7774" w:rsidRPr="00F27B6E" w:rsidRDefault="00BF7774" w:rsidP="00BF7774">
      <w:pPr>
        <w:spacing w:before="120"/>
        <w:ind w:firstLine="567"/>
        <w:jc w:val="both"/>
      </w:pPr>
      <w:r w:rsidRPr="008850FC">
        <w:t>В соответствии с пункт</w:t>
      </w:r>
      <w:r>
        <w:t>ом</w:t>
      </w:r>
      <w:r w:rsidRPr="008850FC">
        <w:t xml:space="preserve"> 2.9 Плана работы на 202</w:t>
      </w:r>
      <w:r>
        <w:t>5</w:t>
      </w:r>
      <w:r w:rsidRPr="008850FC">
        <w:t xml:space="preserve"> год, Контрольно-счетной палатой проведена экспертиза </w:t>
      </w:r>
      <w:r w:rsidRPr="00F27B6E">
        <w:t>проекта решения Совета МО ГО "Сыктывкар" "Об осуществлении перевозок внутренним водным транспортом на территории МО ГО "Сыктывкар" в 2025 году".</w:t>
      </w:r>
    </w:p>
    <w:p w:rsidR="00BF7774" w:rsidRPr="00F27B6E" w:rsidRDefault="00BF7774" w:rsidP="00BF7774">
      <w:pPr>
        <w:tabs>
          <w:tab w:val="left" w:pos="567"/>
        </w:tabs>
        <w:spacing w:before="120"/>
        <w:ind w:firstLine="567"/>
        <w:jc w:val="both"/>
      </w:pPr>
      <w:r>
        <w:t>П</w:t>
      </w:r>
      <w:r w:rsidRPr="00F27B6E">
        <w:t>роведенной экспертизой установлены недостатки, влияющие на расходы муниципального бюджета.</w:t>
      </w:r>
    </w:p>
    <w:p w:rsidR="00BF7774" w:rsidRPr="00F27B6E" w:rsidRDefault="00BF7774" w:rsidP="00BF7774">
      <w:pPr>
        <w:tabs>
          <w:tab w:val="left" w:pos="567"/>
        </w:tabs>
        <w:spacing w:before="120"/>
        <w:ind w:firstLine="567"/>
        <w:jc w:val="both"/>
      </w:pPr>
      <w:r w:rsidRPr="00F27B6E">
        <w:t>В целях обеспечения сохранения качества предоставляемых транспортных услуг, для компенсирования фактических затрат организаций-перевозчиков, существует необходимость регулярного пересмотра тарифов.</w:t>
      </w:r>
      <w:r>
        <w:t xml:space="preserve"> </w:t>
      </w:r>
      <w:r w:rsidRPr="00F27B6E">
        <w:t xml:space="preserve">Между тем, установленные Приказом Комитета </w:t>
      </w:r>
      <w:r w:rsidRPr="00F27B6E">
        <w:lastRenderedPageBreak/>
        <w:t>Республики Коми по тарифам от 02.07.2021 № 22/3 тарифы для МКП "Жилкомсервис" не менялись почти 4 года.</w:t>
      </w:r>
    </w:p>
    <w:p w:rsidR="00BF7774" w:rsidRDefault="00BF7774" w:rsidP="00BF7774">
      <w:pPr>
        <w:tabs>
          <w:tab w:val="left" w:pos="567"/>
        </w:tabs>
        <w:spacing w:before="120"/>
        <w:ind w:firstLine="567"/>
        <w:jc w:val="both"/>
      </w:pPr>
      <w:r>
        <w:t>По итогам проведенной экспертизы, в</w:t>
      </w:r>
      <w:r w:rsidRPr="00F27B6E">
        <w:t xml:space="preserve"> целях установления актуальных экономически-обоснованных тарифов</w:t>
      </w:r>
      <w:r>
        <w:t xml:space="preserve">, предложено </w:t>
      </w:r>
      <w:r w:rsidRPr="00F27B6E">
        <w:t>рассмотреть вопрос о направлении в Комитет Республики Коми по тарифам обращения об установлении предельных максимальных уровней тарифов на перевозки грузов (транспортных средств), пассажиров и багажа речным транспортом, осуществляемых МКП "Жилкомсервис". В случае пересмотра тарифов осуществить последующую пропорциональную корректировку установленной провозной платы.</w:t>
      </w:r>
    </w:p>
    <w:p w:rsidR="0042790B" w:rsidRPr="00F27B6E" w:rsidRDefault="0042790B" w:rsidP="00BF7774">
      <w:pPr>
        <w:tabs>
          <w:tab w:val="left" w:pos="567"/>
        </w:tabs>
        <w:spacing w:before="120"/>
        <w:ind w:firstLine="567"/>
        <w:jc w:val="both"/>
      </w:pPr>
    </w:p>
    <w:p w:rsidR="0042790B" w:rsidRPr="00C556D9" w:rsidRDefault="0042790B" w:rsidP="0042790B">
      <w:pPr>
        <w:autoSpaceDE w:val="0"/>
        <w:autoSpaceDN w:val="0"/>
        <w:adjustRightInd w:val="0"/>
        <w:jc w:val="center"/>
        <w:rPr>
          <w:b/>
        </w:rPr>
      </w:pPr>
      <w:r w:rsidRPr="00C556D9">
        <w:rPr>
          <w:b/>
        </w:rPr>
        <w:t xml:space="preserve">О результатах проведения экспертизы </w:t>
      </w:r>
      <w:r w:rsidRPr="00D677F4">
        <w:rPr>
          <w:b/>
        </w:rPr>
        <w:t>постановлени</w:t>
      </w:r>
      <w:r>
        <w:rPr>
          <w:b/>
        </w:rPr>
        <w:t>я</w:t>
      </w:r>
      <w:r w:rsidRPr="00D677F4">
        <w:rPr>
          <w:b/>
        </w:rPr>
        <w:t xml:space="preserve"> главы администрации МО ГО "Сыктывкар" от 24.12.2008 № 12/5038</w:t>
      </w:r>
      <w:r>
        <w:rPr>
          <w:b/>
        </w:rPr>
        <w:t xml:space="preserve"> </w:t>
      </w:r>
      <w:r w:rsidRPr="00D677F4">
        <w:rPr>
          <w:b/>
        </w:rPr>
        <w:t>"Об утверждении Положения об исчислении и перечислении собственнику части прибыли, остающейся после уплаты налогов и иных обязательных платежей муниципальными унитарными предприятиями муниципального образования городского округа "Сыктывкар"</w:t>
      </w:r>
    </w:p>
    <w:p w:rsidR="0042790B" w:rsidRPr="008850FC" w:rsidRDefault="0042790B" w:rsidP="0042790B">
      <w:pPr>
        <w:spacing w:before="120"/>
        <w:ind w:firstLine="567"/>
        <w:jc w:val="both"/>
      </w:pPr>
      <w:r w:rsidRPr="008850FC">
        <w:t>В соответствии с пункт</w:t>
      </w:r>
      <w:r>
        <w:t>ами</w:t>
      </w:r>
      <w:r w:rsidRPr="008850FC">
        <w:t xml:space="preserve"> 2.9</w:t>
      </w:r>
      <w:r>
        <w:t>, 2.10</w:t>
      </w:r>
      <w:r w:rsidRPr="008850FC">
        <w:t xml:space="preserve"> Плана работы на 202</w:t>
      </w:r>
      <w:r>
        <w:t>5</w:t>
      </w:r>
      <w:r w:rsidRPr="008850FC">
        <w:t xml:space="preserve"> год, Контрольно-счетной палатой проведена экспертиза </w:t>
      </w:r>
      <w:r w:rsidRPr="00D677F4">
        <w:t>постановления главы администрации МО ГО "Сыктывкар" от 24.12.2008 № 12/5038 "Об утверждении Положения об исчислении и перечислении собственнику части прибыли, остающейся после уплаты налогов и иных обязательных платежей муниципальными унитарными предприятиями муниципального образования городского округа "Сыктывкар" (далее – Положение № 12/5038)</w:t>
      </w:r>
      <w:r w:rsidRPr="008850FC">
        <w:t>.</w:t>
      </w:r>
    </w:p>
    <w:p w:rsidR="0042790B" w:rsidRPr="008C7616" w:rsidRDefault="0042790B" w:rsidP="0042790B">
      <w:pPr>
        <w:spacing w:line="288" w:lineRule="atLeast"/>
        <w:ind w:firstLine="540"/>
        <w:jc w:val="both"/>
      </w:pPr>
      <w:r>
        <w:t xml:space="preserve">Положением </w:t>
      </w:r>
      <w:r w:rsidRPr="003873FC">
        <w:t>№ 12/5038</w:t>
      </w:r>
      <w:r>
        <w:t xml:space="preserve"> установлен порядок определения размера части прибыли муниципальных унитарных предприятий, подлежащей перечислению в муниципальный бюджет, что не соответствует требованиям статьи 62 Бюджетного кодекса Российской Федерации, </w:t>
      </w:r>
      <w:r w:rsidRPr="00B13B01">
        <w:t>в соответствии с которыми такой порядок устанавливается муниципальными правовыми актами представительных органов муниципальных образований</w:t>
      </w:r>
      <w:r>
        <w:t>.</w:t>
      </w:r>
    </w:p>
    <w:p w:rsidR="0042790B" w:rsidRDefault="0042790B" w:rsidP="0042790B">
      <w:pPr>
        <w:tabs>
          <w:tab w:val="left" w:pos="567"/>
        </w:tabs>
        <w:spacing w:before="120"/>
        <w:ind w:firstLine="567"/>
        <w:jc w:val="both"/>
      </w:pPr>
      <w:r>
        <w:t>Кроме того, указанный порядок содержит ряд исключений, не предусмотренных с</w:t>
      </w:r>
      <w:r w:rsidRPr="00806CD0">
        <w:t>татьей 9 решения Совета МО ГО "Сыктывкар" от 05.12.2024 № 35/2024-512 "О бюджете МО ГО "Сыктывкар" на 2025 год и плановый период 2026 и 2027 годов"</w:t>
      </w:r>
      <w:r>
        <w:t xml:space="preserve">, которые уменьшают общий размер прибыли, подлежащий перечислению в бюджет, что влечет причинение ущерба бюджету МО ГО "Сыктывкар" в виде </w:t>
      </w:r>
      <w:proofErr w:type="spellStart"/>
      <w:r>
        <w:t>недопоступления</w:t>
      </w:r>
      <w:proofErr w:type="spellEnd"/>
      <w:r>
        <w:t xml:space="preserve"> неналоговых доходов.</w:t>
      </w:r>
    </w:p>
    <w:p w:rsidR="0042790B" w:rsidRDefault="0042790B" w:rsidP="0042790B">
      <w:pPr>
        <w:tabs>
          <w:tab w:val="left" w:pos="567"/>
        </w:tabs>
        <w:spacing w:before="120"/>
        <w:ind w:firstLine="567"/>
        <w:jc w:val="both"/>
      </w:pPr>
      <w:r>
        <w:t>Также в заключении по результатам экспертизы указано, что действующими муниципальными правовыми актами не регламентирован порядок освобождения (частичного освобождения) муниципальных унитарных предприятий от перечисления части прибыли.</w:t>
      </w:r>
    </w:p>
    <w:p w:rsidR="0042790B" w:rsidRDefault="0042790B" w:rsidP="0042790B">
      <w:pPr>
        <w:tabs>
          <w:tab w:val="left" w:pos="567"/>
        </w:tabs>
        <w:spacing w:before="120"/>
        <w:ind w:firstLine="567"/>
        <w:jc w:val="both"/>
      </w:pPr>
      <w:r>
        <w:t>По итогам проведенной экспертизы предложено:</w:t>
      </w:r>
    </w:p>
    <w:p w:rsidR="0042790B" w:rsidRPr="005C60D3" w:rsidRDefault="0042790B" w:rsidP="0042790B">
      <w:pPr>
        <w:pStyle w:val="a6"/>
        <w:tabs>
          <w:tab w:val="left" w:pos="851"/>
        </w:tabs>
        <w:ind w:left="0" w:firstLine="567"/>
        <w:contextualSpacing w:val="0"/>
        <w:jc w:val="both"/>
      </w:pPr>
      <w:r>
        <w:t>- Привести</w:t>
      </w:r>
      <w:r w:rsidRPr="005C60D3">
        <w:t xml:space="preserve"> Положени</w:t>
      </w:r>
      <w:r>
        <w:t>е</w:t>
      </w:r>
      <w:r w:rsidRPr="005C60D3">
        <w:t xml:space="preserve"> № 12/5038 </w:t>
      </w:r>
      <w:r>
        <w:t>в соответствие требованиям б</w:t>
      </w:r>
      <w:r w:rsidRPr="005C60D3">
        <w:t xml:space="preserve">юджетного </w:t>
      </w:r>
      <w:r>
        <w:t>законодательства Российской Федерации</w:t>
      </w:r>
      <w:r w:rsidRPr="005C60D3">
        <w:t>;</w:t>
      </w:r>
    </w:p>
    <w:p w:rsidR="0042790B" w:rsidRDefault="0042790B" w:rsidP="0042790B">
      <w:pPr>
        <w:pStyle w:val="a6"/>
        <w:tabs>
          <w:tab w:val="left" w:pos="851"/>
        </w:tabs>
        <w:spacing w:before="120"/>
        <w:ind w:left="0" w:firstLine="567"/>
        <w:jc w:val="both"/>
      </w:pPr>
      <w:r>
        <w:t>- </w:t>
      </w:r>
      <w:r w:rsidRPr="005C60D3">
        <w:t xml:space="preserve">Разработать и направить на рассмотрение в Совет МО ГО "Сыктывкар" проект решения, регламентирующий порядок </w:t>
      </w:r>
      <w:r>
        <w:t>освобождения (частичного освобождения) муниципальных унитарных предприятий от перечисления части прибыли.</w:t>
      </w:r>
    </w:p>
    <w:p w:rsidR="0042790B" w:rsidRDefault="0042790B" w:rsidP="0042790B">
      <w:pPr>
        <w:tabs>
          <w:tab w:val="left" w:pos="567"/>
        </w:tabs>
        <w:spacing w:before="120"/>
        <w:ind w:firstLine="567"/>
        <w:jc w:val="both"/>
      </w:pPr>
      <w:r>
        <w:t>Заключение по результатам экспертизы направлено Г</w:t>
      </w:r>
      <w:r w:rsidRPr="00570DAB">
        <w:t>лаве МО ГО "Сыктывкар" – руководителю администрации</w:t>
      </w:r>
      <w:r>
        <w:t>, в Совет</w:t>
      </w:r>
      <w:r w:rsidRPr="00570DAB">
        <w:t xml:space="preserve"> МО ГО "Сыктывкар"</w:t>
      </w:r>
      <w:r>
        <w:t xml:space="preserve"> и Прокуратуру города Сыктывкара.</w:t>
      </w:r>
    </w:p>
    <w:p w:rsidR="0042790B" w:rsidRPr="00570DAB" w:rsidRDefault="0042790B" w:rsidP="0042790B">
      <w:pPr>
        <w:tabs>
          <w:tab w:val="left" w:pos="567"/>
        </w:tabs>
        <w:spacing w:before="120"/>
        <w:ind w:firstLine="567"/>
        <w:jc w:val="both"/>
      </w:pPr>
      <w:bookmarkStart w:id="0" w:name="_GoBack"/>
      <w:bookmarkEnd w:id="0"/>
    </w:p>
    <w:p w:rsidR="00BF7774" w:rsidRDefault="00BF7774" w:rsidP="000C25EB">
      <w:pPr>
        <w:autoSpaceDE w:val="0"/>
        <w:autoSpaceDN w:val="0"/>
        <w:adjustRightInd w:val="0"/>
        <w:ind w:firstLine="567"/>
        <w:jc w:val="center"/>
        <w:rPr>
          <w:b/>
        </w:rPr>
      </w:pPr>
    </w:p>
    <w:sectPr w:rsidR="00BF7774" w:rsidSect="00643DAC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C0D08"/>
    <w:multiLevelType w:val="hybridMultilevel"/>
    <w:tmpl w:val="7BA00A4E"/>
    <w:lvl w:ilvl="0" w:tplc="2B0A8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0E68D8"/>
    <w:multiLevelType w:val="hybridMultilevel"/>
    <w:tmpl w:val="CB7AC59E"/>
    <w:lvl w:ilvl="0" w:tplc="3348BE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AD5418D"/>
    <w:multiLevelType w:val="hybridMultilevel"/>
    <w:tmpl w:val="67E42192"/>
    <w:lvl w:ilvl="0" w:tplc="2C16A8D4">
      <w:start w:val="8"/>
      <w:numFmt w:val="decimal"/>
      <w:lvlText w:val="%1."/>
      <w:lvlJc w:val="left"/>
      <w:pPr>
        <w:ind w:left="3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" w15:restartNumberingAfterBreak="0">
    <w:nsid w:val="65C04709"/>
    <w:multiLevelType w:val="hybridMultilevel"/>
    <w:tmpl w:val="F1362AFC"/>
    <w:lvl w:ilvl="0" w:tplc="79BA4808">
      <w:start w:val="1"/>
      <w:numFmt w:val="bullet"/>
      <w:lvlText w:val=""/>
      <w:lvlJc w:val="left"/>
      <w:pPr>
        <w:tabs>
          <w:tab w:val="num" w:pos="1498"/>
        </w:tabs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1AA"/>
    <w:rsid w:val="000041B7"/>
    <w:rsid w:val="00023E2C"/>
    <w:rsid w:val="00033ECB"/>
    <w:rsid w:val="00042425"/>
    <w:rsid w:val="00051685"/>
    <w:rsid w:val="00061D15"/>
    <w:rsid w:val="00061D9E"/>
    <w:rsid w:val="0006544A"/>
    <w:rsid w:val="000660DD"/>
    <w:rsid w:val="0007277B"/>
    <w:rsid w:val="000914EF"/>
    <w:rsid w:val="00095AF9"/>
    <w:rsid w:val="000A0C9A"/>
    <w:rsid w:val="000A55E9"/>
    <w:rsid w:val="000A5CEF"/>
    <w:rsid w:val="000A6C0F"/>
    <w:rsid w:val="000C12CD"/>
    <w:rsid w:val="000C25EB"/>
    <w:rsid w:val="000C3611"/>
    <w:rsid w:val="000D4DA0"/>
    <w:rsid w:val="000D4EB6"/>
    <w:rsid w:val="00102255"/>
    <w:rsid w:val="00114E63"/>
    <w:rsid w:val="0012284C"/>
    <w:rsid w:val="0012445A"/>
    <w:rsid w:val="0013417C"/>
    <w:rsid w:val="00150AC1"/>
    <w:rsid w:val="00167C10"/>
    <w:rsid w:val="00170825"/>
    <w:rsid w:val="00175CCC"/>
    <w:rsid w:val="00182D8C"/>
    <w:rsid w:val="00186860"/>
    <w:rsid w:val="00190855"/>
    <w:rsid w:val="001B12ED"/>
    <w:rsid w:val="001C70EC"/>
    <w:rsid w:val="001E191E"/>
    <w:rsid w:val="001E3E37"/>
    <w:rsid w:val="001E5392"/>
    <w:rsid w:val="00220985"/>
    <w:rsid w:val="002416CA"/>
    <w:rsid w:val="002548A2"/>
    <w:rsid w:val="00261213"/>
    <w:rsid w:val="002756A4"/>
    <w:rsid w:val="00281BD3"/>
    <w:rsid w:val="00284C5D"/>
    <w:rsid w:val="002A4CB7"/>
    <w:rsid w:val="002C1A93"/>
    <w:rsid w:val="002C6BB3"/>
    <w:rsid w:val="002D6F4C"/>
    <w:rsid w:val="002E537D"/>
    <w:rsid w:val="002F037A"/>
    <w:rsid w:val="002F0B8F"/>
    <w:rsid w:val="002F24C5"/>
    <w:rsid w:val="002F36D8"/>
    <w:rsid w:val="00301B20"/>
    <w:rsid w:val="00301C2F"/>
    <w:rsid w:val="0030708B"/>
    <w:rsid w:val="0031573D"/>
    <w:rsid w:val="00333573"/>
    <w:rsid w:val="0034424E"/>
    <w:rsid w:val="0035041A"/>
    <w:rsid w:val="003517CE"/>
    <w:rsid w:val="00355086"/>
    <w:rsid w:val="00366A2B"/>
    <w:rsid w:val="00366E88"/>
    <w:rsid w:val="003A1CC0"/>
    <w:rsid w:val="003A3706"/>
    <w:rsid w:val="003B1324"/>
    <w:rsid w:val="003C2ED2"/>
    <w:rsid w:val="003C3299"/>
    <w:rsid w:val="003D2F6F"/>
    <w:rsid w:val="003D434D"/>
    <w:rsid w:val="0040050B"/>
    <w:rsid w:val="00403654"/>
    <w:rsid w:val="00423562"/>
    <w:rsid w:val="0042790B"/>
    <w:rsid w:val="00427B8D"/>
    <w:rsid w:val="004311AE"/>
    <w:rsid w:val="00440E16"/>
    <w:rsid w:val="004415E0"/>
    <w:rsid w:val="00442A0F"/>
    <w:rsid w:val="00443ECC"/>
    <w:rsid w:val="004801CC"/>
    <w:rsid w:val="00484592"/>
    <w:rsid w:val="00490AC7"/>
    <w:rsid w:val="004B126C"/>
    <w:rsid w:val="004B78A7"/>
    <w:rsid w:val="004C1EC4"/>
    <w:rsid w:val="004D3D01"/>
    <w:rsid w:val="004E7920"/>
    <w:rsid w:val="005006E8"/>
    <w:rsid w:val="00504F5A"/>
    <w:rsid w:val="005058EB"/>
    <w:rsid w:val="005115E1"/>
    <w:rsid w:val="00536F13"/>
    <w:rsid w:val="00547C2E"/>
    <w:rsid w:val="0055454F"/>
    <w:rsid w:val="00555D47"/>
    <w:rsid w:val="005620C2"/>
    <w:rsid w:val="00562239"/>
    <w:rsid w:val="00565FD1"/>
    <w:rsid w:val="00566FBE"/>
    <w:rsid w:val="00584371"/>
    <w:rsid w:val="0059131A"/>
    <w:rsid w:val="00592EE1"/>
    <w:rsid w:val="005B7019"/>
    <w:rsid w:val="005D0DF5"/>
    <w:rsid w:val="005E2A91"/>
    <w:rsid w:val="005E3B15"/>
    <w:rsid w:val="005E506B"/>
    <w:rsid w:val="005F27BF"/>
    <w:rsid w:val="005F3FE0"/>
    <w:rsid w:val="005F667D"/>
    <w:rsid w:val="00602439"/>
    <w:rsid w:val="00603661"/>
    <w:rsid w:val="00607562"/>
    <w:rsid w:val="00614758"/>
    <w:rsid w:val="0062291E"/>
    <w:rsid w:val="006244BD"/>
    <w:rsid w:val="0063514B"/>
    <w:rsid w:val="006369DE"/>
    <w:rsid w:val="00640F55"/>
    <w:rsid w:val="00643106"/>
    <w:rsid w:val="00643DAC"/>
    <w:rsid w:val="00652010"/>
    <w:rsid w:val="006521C0"/>
    <w:rsid w:val="00655305"/>
    <w:rsid w:val="00657A24"/>
    <w:rsid w:val="00661774"/>
    <w:rsid w:val="00663F91"/>
    <w:rsid w:val="006672BD"/>
    <w:rsid w:val="00677508"/>
    <w:rsid w:val="00677F10"/>
    <w:rsid w:val="00680C2F"/>
    <w:rsid w:val="00684A26"/>
    <w:rsid w:val="00692016"/>
    <w:rsid w:val="00695ACC"/>
    <w:rsid w:val="00695F27"/>
    <w:rsid w:val="006A1734"/>
    <w:rsid w:val="006C048E"/>
    <w:rsid w:val="006C4459"/>
    <w:rsid w:val="006C614D"/>
    <w:rsid w:val="006D7694"/>
    <w:rsid w:val="006F5F05"/>
    <w:rsid w:val="006F7FE4"/>
    <w:rsid w:val="00700A32"/>
    <w:rsid w:val="00700DFA"/>
    <w:rsid w:val="00705F53"/>
    <w:rsid w:val="007105D4"/>
    <w:rsid w:val="00723238"/>
    <w:rsid w:val="007316F7"/>
    <w:rsid w:val="00733299"/>
    <w:rsid w:val="007449BC"/>
    <w:rsid w:val="00756385"/>
    <w:rsid w:val="007818F0"/>
    <w:rsid w:val="007A4D8B"/>
    <w:rsid w:val="007C397E"/>
    <w:rsid w:val="007D14DD"/>
    <w:rsid w:val="007E65B6"/>
    <w:rsid w:val="007F631D"/>
    <w:rsid w:val="00803DFC"/>
    <w:rsid w:val="00806B56"/>
    <w:rsid w:val="00813E84"/>
    <w:rsid w:val="00817181"/>
    <w:rsid w:val="00822D5D"/>
    <w:rsid w:val="00823F67"/>
    <w:rsid w:val="0082512A"/>
    <w:rsid w:val="00832728"/>
    <w:rsid w:val="00841577"/>
    <w:rsid w:val="008512BD"/>
    <w:rsid w:val="008550A0"/>
    <w:rsid w:val="00857669"/>
    <w:rsid w:val="00860C13"/>
    <w:rsid w:val="008737E2"/>
    <w:rsid w:val="008821F4"/>
    <w:rsid w:val="00894A96"/>
    <w:rsid w:val="008A0C17"/>
    <w:rsid w:val="008A3FA8"/>
    <w:rsid w:val="008B0D83"/>
    <w:rsid w:val="008B1930"/>
    <w:rsid w:val="008B322D"/>
    <w:rsid w:val="008C1903"/>
    <w:rsid w:val="008D0B8A"/>
    <w:rsid w:val="008E3FB1"/>
    <w:rsid w:val="009012FF"/>
    <w:rsid w:val="00913B98"/>
    <w:rsid w:val="00914060"/>
    <w:rsid w:val="00916F41"/>
    <w:rsid w:val="009314E8"/>
    <w:rsid w:val="00931BBA"/>
    <w:rsid w:val="00932B4B"/>
    <w:rsid w:val="009357BC"/>
    <w:rsid w:val="00936241"/>
    <w:rsid w:val="009426A4"/>
    <w:rsid w:val="009503E2"/>
    <w:rsid w:val="009677B8"/>
    <w:rsid w:val="00970809"/>
    <w:rsid w:val="00974513"/>
    <w:rsid w:val="009774C2"/>
    <w:rsid w:val="00991C50"/>
    <w:rsid w:val="00992C21"/>
    <w:rsid w:val="009A254D"/>
    <w:rsid w:val="009B345E"/>
    <w:rsid w:val="009C06CA"/>
    <w:rsid w:val="009C0FC5"/>
    <w:rsid w:val="009D00DA"/>
    <w:rsid w:val="009D0A6E"/>
    <w:rsid w:val="009D7B23"/>
    <w:rsid w:val="009E34AF"/>
    <w:rsid w:val="009E79A4"/>
    <w:rsid w:val="009F1DB7"/>
    <w:rsid w:val="009F1E8B"/>
    <w:rsid w:val="009F26F9"/>
    <w:rsid w:val="009F698D"/>
    <w:rsid w:val="00A42F58"/>
    <w:rsid w:val="00A456BB"/>
    <w:rsid w:val="00A46D96"/>
    <w:rsid w:val="00A507C7"/>
    <w:rsid w:val="00A60EFB"/>
    <w:rsid w:val="00A677AA"/>
    <w:rsid w:val="00A76D1C"/>
    <w:rsid w:val="00A77C7F"/>
    <w:rsid w:val="00A85E53"/>
    <w:rsid w:val="00A90408"/>
    <w:rsid w:val="00AA1816"/>
    <w:rsid w:val="00AA39CD"/>
    <w:rsid w:val="00AA5AF1"/>
    <w:rsid w:val="00AB5F3F"/>
    <w:rsid w:val="00AC0427"/>
    <w:rsid w:val="00AC1A68"/>
    <w:rsid w:val="00AD184A"/>
    <w:rsid w:val="00AD2057"/>
    <w:rsid w:val="00AE1DFA"/>
    <w:rsid w:val="00AE2A80"/>
    <w:rsid w:val="00AE54FD"/>
    <w:rsid w:val="00AF1581"/>
    <w:rsid w:val="00AF76AB"/>
    <w:rsid w:val="00B03628"/>
    <w:rsid w:val="00B11B41"/>
    <w:rsid w:val="00B15035"/>
    <w:rsid w:val="00B22605"/>
    <w:rsid w:val="00B231DE"/>
    <w:rsid w:val="00B24FF2"/>
    <w:rsid w:val="00B30907"/>
    <w:rsid w:val="00B4685F"/>
    <w:rsid w:val="00B56774"/>
    <w:rsid w:val="00B62A8C"/>
    <w:rsid w:val="00B64FAC"/>
    <w:rsid w:val="00B90A8D"/>
    <w:rsid w:val="00B93F4D"/>
    <w:rsid w:val="00BA27A5"/>
    <w:rsid w:val="00BB7071"/>
    <w:rsid w:val="00BC1472"/>
    <w:rsid w:val="00BC533F"/>
    <w:rsid w:val="00BC661F"/>
    <w:rsid w:val="00BD02E2"/>
    <w:rsid w:val="00BE571E"/>
    <w:rsid w:val="00BF7774"/>
    <w:rsid w:val="00C0542C"/>
    <w:rsid w:val="00C05C96"/>
    <w:rsid w:val="00C15730"/>
    <w:rsid w:val="00C16B11"/>
    <w:rsid w:val="00C305CE"/>
    <w:rsid w:val="00C321D9"/>
    <w:rsid w:val="00C33051"/>
    <w:rsid w:val="00C404D0"/>
    <w:rsid w:val="00C451CF"/>
    <w:rsid w:val="00C46850"/>
    <w:rsid w:val="00C477C5"/>
    <w:rsid w:val="00C50A7B"/>
    <w:rsid w:val="00C52BD9"/>
    <w:rsid w:val="00C537EB"/>
    <w:rsid w:val="00C556D9"/>
    <w:rsid w:val="00C64C1C"/>
    <w:rsid w:val="00C77A05"/>
    <w:rsid w:val="00C8272F"/>
    <w:rsid w:val="00CA1DEF"/>
    <w:rsid w:val="00CA403F"/>
    <w:rsid w:val="00CA5C1D"/>
    <w:rsid w:val="00CB6505"/>
    <w:rsid w:val="00CD4C72"/>
    <w:rsid w:val="00CD7A69"/>
    <w:rsid w:val="00CF381A"/>
    <w:rsid w:val="00D03CA0"/>
    <w:rsid w:val="00D070B1"/>
    <w:rsid w:val="00D2574B"/>
    <w:rsid w:val="00D30E66"/>
    <w:rsid w:val="00D31C0E"/>
    <w:rsid w:val="00D46D53"/>
    <w:rsid w:val="00D550F5"/>
    <w:rsid w:val="00D55FB0"/>
    <w:rsid w:val="00D65360"/>
    <w:rsid w:val="00D67B4E"/>
    <w:rsid w:val="00D67C6B"/>
    <w:rsid w:val="00D703F7"/>
    <w:rsid w:val="00D75EF8"/>
    <w:rsid w:val="00D77046"/>
    <w:rsid w:val="00D914D2"/>
    <w:rsid w:val="00D9348E"/>
    <w:rsid w:val="00D966E0"/>
    <w:rsid w:val="00DA62FC"/>
    <w:rsid w:val="00DA6FAA"/>
    <w:rsid w:val="00DA79D3"/>
    <w:rsid w:val="00DB0009"/>
    <w:rsid w:val="00DC37FE"/>
    <w:rsid w:val="00DC467E"/>
    <w:rsid w:val="00DD38A2"/>
    <w:rsid w:val="00DD5DF4"/>
    <w:rsid w:val="00DD61EA"/>
    <w:rsid w:val="00DD6473"/>
    <w:rsid w:val="00DE2B7B"/>
    <w:rsid w:val="00DE3D37"/>
    <w:rsid w:val="00DF4E2B"/>
    <w:rsid w:val="00E0063D"/>
    <w:rsid w:val="00E10246"/>
    <w:rsid w:val="00E20939"/>
    <w:rsid w:val="00E24310"/>
    <w:rsid w:val="00E27D7B"/>
    <w:rsid w:val="00E461AA"/>
    <w:rsid w:val="00E62111"/>
    <w:rsid w:val="00E75D0F"/>
    <w:rsid w:val="00E772FC"/>
    <w:rsid w:val="00E7747E"/>
    <w:rsid w:val="00E865BD"/>
    <w:rsid w:val="00E90296"/>
    <w:rsid w:val="00EA44FC"/>
    <w:rsid w:val="00EB0EE8"/>
    <w:rsid w:val="00EB160A"/>
    <w:rsid w:val="00EB339A"/>
    <w:rsid w:val="00EC1C6C"/>
    <w:rsid w:val="00EE5461"/>
    <w:rsid w:val="00F071BD"/>
    <w:rsid w:val="00F15343"/>
    <w:rsid w:val="00F1657F"/>
    <w:rsid w:val="00F16D4C"/>
    <w:rsid w:val="00F173CC"/>
    <w:rsid w:val="00F212FA"/>
    <w:rsid w:val="00F3282E"/>
    <w:rsid w:val="00F32C2B"/>
    <w:rsid w:val="00F33CF1"/>
    <w:rsid w:val="00F4076B"/>
    <w:rsid w:val="00F5373F"/>
    <w:rsid w:val="00F55249"/>
    <w:rsid w:val="00F63EEE"/>
    <w:rsid w:val="00F646E2"/>
    <w:rsid w:val="00F64A32"/>
    <w:rsid w:val="00F654E8"/>
    <w:rsid w:val="00F727F3"/>
    <w:rsid w:val="00F738C6"/>
    <w:rsid w:val="00F80FC2"/>
    <w:rsid w:val="00F83E2B"/>
    <w:rsid w:val="00F86923"/>
    <w:rsid w:val="00F9457E"/>
    <w:rsid w:val="00FA1264"/>
    <w:rsid w:val="00FA2D4A"/>
    <w:rsid w:val="00FA4660"/>
    <w:rsid w:val="00FA4D34"/>
    <w:rsid w:val="00FB1CF2"/>
    <w:rsid w:val="00FC3F7A"/>
    <w:rsid w:val="00FD005C"/>
    <w:rsid w:val="00FD1254"/>
    <w:rsid w:val="00FD310D"/>
    <w:rsid w:val="00FD617F"/>
    <w:rsid w:val="00FF1E02"/>
    <w:rsid w:val="00FF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0286AA-25A0-46CB-8F80-99D794665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1A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55305"/>
    <w:pPr>
      <w:keepNext/>
      <w:keepLines/>
      <w:spacing w:line="320" w:lineRule="exact"/>
      <w:jc w:val="center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 Знак3"/>
    <w:basedOn w:val="a"/>
    <w:rsid w:val="00E10246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3">
    <w:name w:val="header"/>
    <w:basedOn w:val="a"/>
    <w:link w:val="a4"/>
    <w:rsid w:val="004B78A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locked/>
    <w:rsid w:val="004B78A7"/>
    <w:rPr>
      <w:lang w:val="ru-RU" w:eastAsia="ru-RU" w:bidi="ar-SA"/>
    </w:rPr>
  </w:style>
  <w:style w:type="table" w:styleId="a5">
    <w:name w:val="Table Grid"/>
    <w:basedOn w:val="a1"/>
    <w:rsid w:val="00C64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655305"/>
    <w:rPr>
      <w:b/>
      <w:bCs/>
      <w:sz w:val="28"/>
    </w:rPr>
  </w:style>
  <w:style w:type="paragraph" w:customStyle="1" w:styleId="21">
    <w:name w:val="Знак Знак2"/>
    <w:basedOn w:val="a"/>
    <w:rsid w:val="008A0C17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22">
    <w:name w:val="Знак Знак2"/>
    <w:basedOn w:val="a"/>
    <w:rsid w:val="001C70E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6">
    <w:name w:val="List Paragraph"/>
    <w:basedOn w:val="a"/>
    <w:uiPriority w:val="34"/>
    <w:qFormat/>
    <w:rsid w:val="009F1DB7"/>
    <w:pPr>
      <w:ind w:left="720"/>
      <w:contextualSpacing/>
    </w:pPr>
  </w:style>
  <w:style w:type="paragraph" w:customStyle="1" w:styleId="23">
    <w:name w:val="Знак Знак2"/>
    <w:basedOn w:val="a"/>
    <w:rsid w:val="0059131A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24">
    <w:name w:val="Знак Знак2"/>
    <w:basedOn w:val="a"/>
    <w:rsid w:val="00F33CF1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25">
    <w:name w:val="Знак Знак2"/>
    <w:basedOn w:val="a"/>
    <w:rsid w:val="007818F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26">
    <w:name w:val="Знак Знак2"/>
    <w:basedOn w:val="a"/>
    <w:rsid w:val="00EB0EE8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HeadDoc">
    <w:name w:val="HeadDoc"/>
    <w:rsid w:val="00EB0EE8"/>
    <w:pPr>
      <w:keepLines/>
      <w:jc w:val="both"/>
    </w:pPr>
    <w:rPr>
      <w:sz w:val="28"/>
    </w:rPr>
  </w:style>
  <w:style w:type="paragraph" w:styleId="a7">
    <w:name w:val="Balloon Text"/>
    <w:basedOn w:val="a"/>
    <w:link w:val="a8"/>
    <w:rsid w:val="00EB0E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B0EE8"/>
    <w:rPr>
      <w:rFonts w:ascii="Tahoma" w:hAnsi="Tahoma" w:cs="Tahoma"/>
      <w:sz w:val="16"/>
      <w:szCs w:val="16"/>
    </w:rPr>
  </w:style>
  <w:style w:type="paragraph" w:customStyle="1" w:styleId="27">
    <w:name w:val="Знак Знак2"/>
    <w:basedOn w:val="a"/>
    <w:rsid w:val="00F83E2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28">
    <w:name w:val="Знак Знак2"/>
    <w:basedOn w:val="a"/>
    <w:rsid w:val="00B93F4D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29">
    <w:name w:val="Знак Знак2"/>
    <w:basedOn w:val="a"/>
    <w:rsid w:val="000C25E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2a">
    <w:name w:val="Знак Знак2"/>
    <w:basedOn w:val="a"/>
    <w:rsid w:val="007105D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2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2129</TotalTime>
  <Pages>3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отчета об исполнении бюджета</vt:lpstr>
    </vt:vector>
  </TitlesOfParts>
  <Company/>
  <LinksUpToDate>false</LinksUpToDate>
  <CharactersWithSpaces>9828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отчета об исполнении бюджета</dc:title>
  <dc:creator>Марина Николаевна</dc:creator>
  <cp:keywords>Вакс; Совет</cp:keywords>
  <cp:lastModifiedBy>КСП-АлТем</cp:lastModifiedBy>
  <cp:revision>73</cp:revision>
  <cp:lastPrinted>2025-04-01T06:21:00Z</cp:lastPrinted>
  <dcterms:created xsi:type="dcterms:W3CDTF">2020-05-29T08:25:00Z</dcterms:created>
  <dcterms:modified xsi:type="dcterms:W3CDTF">2025-04-01T07:06:00Z</dcterms:modified>
</cp:coreProperties>
</file>