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37" w:rsidRPr="00C556D9" w:rsidRDefault="00DE3D37" w:rsidP="00DE3D37">
      <w:pPr>
        <w:autoSpaceDE w:val="0"/>
        <w:autoSpaceDN w:val="0"/>
        <w:adjustRightInd w:val="0"/>
        <w:jc w:val="center"/>
        <w:rPr>
          <w:b/>
        </w:rPr>
      </w:pPr>
      <w:r w:rsidRPr="00C556D9">
        <w:rPr>
          <w:b/>
        </w:rPr>
        <w:t>О результатах проведения экспертизы проектов решений</w:t>
      </w:r>
    </w:p>
    <w:p w:rsidR="00DE3D37" w:rsidRPr="00C556D9" w:rsidRDefault="00DE3D37" w:rsidP="00DE3D37">
      <w:pPr>
        <w:autoSpaceDE w:val="0"/>
        <w:autoSpaceDN w:val="0"/>
        <w:adjustRightInd w:val="0"/>
        <w:jc w:val="center"/>
        <w:rPr>
          <w:b/>
        </w:rPr>
      </w:pPr>
      <w:r w:rsidRPr="00C556D9">
        <w:rPr>
          <w:b/>
        </w:rPr>
        <w:t xml:space="preserve">Совета МО ГО "Сыктывкар" </w:t>
      </w:r>
    </w:p>
    <w:p w:rsidR="00DE3D37" w:rsidRPr="00C556D9" w:rsidRDefault="00DE3D37" w:rsidP="000C25EB">
      <w:pPr>
        <w:pStyle w:val="a6"/>
        <w:spacing w:before="120" w:after="120"/>
        <w:ind w:left="0" w:firstLine="567"/>
        <w:contextualSpacing w:val="0"/>
        <w:jc w:val="both"/>
      </w:pPr>
      <w:r w:rsidRPr="00C556D9">
        <w:t xml:space="preserve">Контрольно-счетная палата муниципального образования городского округа "Сыктывкар" провела экспертизу проектов решений включенных в повестку заседания Совета МО ГО "Сыктывкар" в </w:t>
      </w:r>
      <w:r w:rsidR="001464F7">
        <w:t>июне</w:t>
      </w:r>
      <w:r w:rsidRPr="00C556D9">
        <w:t xml:space="preserve"> 202</w:t>
      </w:r>
      <w:r w:rsidR="009C0FC5">
        <w:t>5</w:t>
      </w:r>
      <w:r w:rsidRPr="00C556D9">
        <w:t xml:space="preserve"> года.</w:t>
      </w:r>
    </w:p>
    <w:p w:rsidR="0031573D" w:rsidRPr="0031573D" w:rsidRDefault="00DE3D37" w:rsidP="0031573D">
      <w:pPr>
        <w:autoSpaceDE w:val="0"/>
        <w:autoSpaceDN w:val="0"/>
        <w:adjustRightInd w:val="0"/>
        <w:spacing w:before="60"/>
        <w:ind w:firstLine="567"/>
        <w:jc w:val="both"/>
        <w:rPr>
          <w:b/>
        </w:rPr>
      </w:pPr>
      <w:r w:rsidRPr="000C25EB">
        <w:rPr>
          <w:b/>
        </w:rPr>
        <w:t xml:space="preserve">"О внесении изменений в решение Совета МО ГО "Сыктывкар" от </w:t>
      </w:r>
      <w:r w:rsidR="00AB5F3F">
        <w:rPr>
          <w:b/>
        </w:rPr>
        <w:t>14</w:t>
      </w:r>
      <w:r w:rsidR="0031573D" w:rsidRPr="0031573D">
        <w:rPr>
          <w:b/>
        </w:rPr>
        <w:t>.12.202</w:t>
      </w:r>
      <w:r w:rsidR="00AB5F3F">
        <w:rPr>
          <w:b/>
        </w:rPr>
        <w:t>3</w:t>
      </w:r>
      <w:r w:rsidR="0031573D" w:rsidRPr="0031573D">
        <w:rPr>
          <w:b/>
        </w:rPr>
        <w:t xml:space="preserve"> №</w:t>
      </w:r>
      <w:r w:rsidR="0031573D">
        <w:rPr>
          <w:b/>
        </w:rPr>
        <w:t> </w:t>
      </w:r>
      <w:r w:rsidR="00AB5F3F">
        <w:rPr>
          <w:b/>
        </w:rPr>
        <w:t>27</w:t>
      </w:r>
      <w:r w:rsidR="0031573D" w:rsidRPr="0031573D">
        <w:rPr>
          <w:b/>
        </w:rPr>
        <w:t>/202</w:t>
      </w:r>
      <w:r w:rsidR="00AB5F3F">
        <w:rPr>
          <w:b/>
        </w:rPr>
        <w:t>3</w:t>
      </w:r>
      <w:r w:rsidR="0031573D" w:rsidRPr="0031573D">
        <w:rPr>
          <w:b/>
        </w:rPr>
        <w:t>-</w:t>
      </w:r>
      <w:r w:rsidR="00AB5F3F">
        <w:rPr>
          <w:b/>
        </w:rPr>
        <w:t>400</w:t>
      </w:r>
      <w:r w:rsidR="0031573D" w:rsidRPr="0031573D">
        <w:rPr>
          <w:b/>
        </w:rPr>
        <w:t xml:space="preserve"> "О бюджете МО ГО "Сыктывкар" на 202</w:t>
      </w:r>
      <w:r w:rsidR="00AB5F3F">
        <w:rPr>
          <w:b/>
        </w:rPr>
        <w:t>4</w:t>
      </w:r>
      <w:r w:rsidR="0031573D" w:rsidRPr="0031573D">
        <w:rPr>
          <w:b/>
        </w:rPr>
        <w:t xml:space="preserve"> год и плановый период 202</w:t>
      </w:r>
      <w:r w:rsidR="00AB5F3F">
        <w:rPr>
          <w:b/>
        </w:rPr>
        <w:t>5</w:t>
      </w:r>
      <w:r w:rsidR="0031573D" w:rsidRPr="0031573D">
        <w:rPr>
          <w:b/>
        </w:rPr>
        <w:t xml:space="preserve"> и 202</w:t>
      </w:r>
      <w:r w:rsidR="00AB5F3F">
        <w:rPr>
          <w:b/>
        </w:rPr>
        <w:t>6</w:t>
      </w:r>
      <w:r w:rsidR="0031573D" w:rsidRPr="0031573D">
        <w:rPr>
          <w:b/>
        </w:rPr>
        <w:t xml:space="preserve"> годов"</w:t>
      </w:r>
    </w:p>
    <w:p w:rsidR="00DE3D37" w:rsidRPr="009C0FC5" w:rsidRDefault="00DE3D37" w:rsidP="000C25EB">
      <w:pPr>
        <w:autoSpaceDE w:val="0"/>
        <w:autoSpaceDN w:val="0"/>
        <w:adjustRightInd w:val="0"/>
        <w:spacing w:before="60"/>
        <w:ind w:firstLine="567"/>
        <w:jc w:val="both"/>
      </w:pPr>
      <w:r w:rsidRPr="009C0FC5">
        <w:t>Проектом решения предусмотрено увеличение доходной части муниципального бюджета:</w:t>
      </w:r>
    </w:p>
    <w:p w:rsidR="00DE3D37" w:rsidRPr="001464F7" w:rsidRDefault="00DE3D37" w:rsidP="000C25EB">
      <w:pPr>
        <w:autoSpaceDE w:val="0"/>
        <w:autoSpaceDN w:val="0"/>
        <w:adjustRightInd w:val="0"/>
        <w:ind w:firstLine="567"/>
        <w:jc w:val="both"/>
      </w:pPr>
      <w:r w:rsidRPr="001464F7">
        <w:t>в 202</w:t>
      </w:r>
      <w:r w:rsidR="009C0FC5" w:rsidRPr="001464F7">
        <w:t>5</w:t>
      </w:r>
      <w:r w:rsidRPr="001464F7">
        <w:t xml:space="preserve"> году с </w:t>
      </w:r>
      <w:r w:rsidR="009C0FC5" w:rsidRPr="001464F7">
        <w:t>14 465 720,7</w:t>
      </w:r>
      <w:r w:rsidR="00C05C96" w:rsidRPr="001464F7">
        <w:t xml:space="preserve"> </w:t>
      </w:r>
      <w:r w:rsidR="001464F7" w:rsidRPr="001464F7">
        <w:t xml:space="preserve">до 15 064 711,0 </w:t>
      </w:r>
      <w:r w:rsidRPr="001464F7">
        <w:t>тыс. рублей (+</w:t>
      </w:r>
      <w:r w:rsidR="001464F7" w:rsidRPr="001464F7">
        <w:t>598 990,3</w:t>
      </w:r>
      <w:r w:rsidRPr="001464F7">
        <w:t xml:space="preserve"> тыс. рублей);</w:t>
      </w:r>
    </w:p>
    <w:p w:rsidR="00DE3D37" w:rsidRPr="007A0EE1" w:rsidRDefault="00DE3D37" w:rsidP="000C25EB">
      <w:pPr>
        <w:autoSpaceDE w:val="0"/>
        <w:autoSpaceDN w:val="0"/>
        <w:adjustRightInd w:val="0"/>
        <w:ind w:firstLine="567"/>
        <w:jc w:val="both"/>
      </w:pPr>
      <w:r w:rsidRPr="007A0EE1">
        <w:t>в 202</w:t>
      </w:r>
      <w:r w:rsidR="009C0FC5" w:rsidRPr="007A0EE1">
        <w:t>6</w:t>
      </w:r>
      <w:r w:rsidRPr="007A0EE1">
        <w:t xml:space="preserve"> году с </w:t>
      </w:r>
      <w:r w:rsidR="009C0FC5" w:rsidRPr="007A0EE1">
        <w:t xml:space="preserve">14 016 947,3 </w:t>
      </w:r>
      <w:r w:rsidR="007A0EE1" w:rsidRPr="007A0EE1">
        <w:t xml:space="preserve">до 14 016 799,4 </w:t>
      </w:r>
      <w:r w:rsidRPr="007A0EE1">
        <w:t>тыс. рублей (</w:t>
      </w:r>
      <w:r w:rsidR="007A0EE1" w:rsidRPr="007A0EE1">
        <w:t>-147,9</w:t>
      </w:r>
      <w:r w:rsidR="009C0FC5" w:rsidRPr="007A0EE1">
        <w:t xml:space="preserve"> </w:t>
      </w:r>
      <w:r w:rsidRPr="007A0EE1">
        <w:t>тыс. рублей);</w:t>
      </w:r>
    </w:p>
    <w:p w:rsidR="00DE3D37" w:rsidRPr="007A0EE1" w:rsidRDefault="00DE3D37" w:rsidP="000C25EB">
      <w:pPr>
        <w:autoSpaceDE w:val="0"/>
        <w:autoSpaceDN w:val="0"/>
        <w:adjustRightInd w:val="0"/>
        <w:ind w:firstLine="567"/>
        <w:jc w:val="both"/>
      </w:pPr>
      <w:r w:rsidRPr="007A0EE1">
        <w:t>в 202</w:t>
      </w:r>
      <w:r w:rsidR="009C0FC5" w:rsidRPr="007A0EE1">
        <w:t>7</w:t>
      </w:r>
      <w:r w:rsidRPr="007A0EE1">
        <w:t xml:space="preserve"> году с </w:t>
      </w:r>
      <w:r w:rsidR="009C0FC5" w:rsidRPr="007A0EE1">
        <w:t>13 987 049,3</w:t>
      </w:r>
      <w:r w:rsidRPr="007A0EE1">
        <w:t xml:space="preserve"> </w:t>
      </w:r>
      <w:r w:rsidR="007A0EE1" w:rsidRPr="007A0EE1">
        <w:t xml:space="preserve">до 13 985 318,5 тыс. рублей (-1 730,8 </w:t>
      </w:r>
      <w:r w:rsidRPr="007A0EE1">
        <w:t>тыс. рублей).</w:t>
      </w:r>
    </w:p>
    <w:p w:rsidR="00DE3D37" w:rsidRPr="00B6602D" w:rsidRDefault="00DE3D37" w:rsidP="000C25EB">
      <w:pPr>
        <w:autoSpaceDE w:val="0"/>
        <w:autoSpaceDN w:val="0"/>
        <w:adjustRightInd w:val="0"/>
        <w:ind w:firstLine="567"/>
        <w:jc w:val="both"/>
      </w:pPr>
      <w:r w:rsidRPr="007A0EE1">
        <w:t xml:space="preserve">Проектом решения предусмотрено увеличение общего объема расходов </w:t>
      </w:r>
      <w:r w:rsidRPr="00B6602D">
        <w:t xml:space="preserve">муниципального бюджета: </w:t>
      </w:r>
    </w:p>
    <w:p w:rsidR="00DE3D37" w:rsidRPr="00B6602D" w:rsidRDefault="00DE3D37" w:rsidP="000C25EB">
      <w:pPr>
        <w:autoSpaceDE w:val="0"/>
        <w:autoSpaceDN w:val="0"/>
        <w:adjustRightInd w:val="0"/>
        <w:ind w:firstLine="567"/>
        <w:jc w:val="both"/>
      </w:pPr>
      <w:r w:rsidRPr="00B6602D">
        <w:t>в 202</w:t>
      </w:r>
      <w:r w:rsidR="009C0FC5" w:rsidRPr="00B6602D">
        <w:t>5</w:t>
      </w:r>
      <w:r w:rsidRPr="00B6602D">
        <w:t xml:space="preserve"> году с </w:t>
      </w:r>
      <w:r w:rsidR="00EB339A" w:rsidRPr="00B6602D">
        <w:t>15 141 272,1</w:t>
      </w:r>
      <w:r w:rsidR="00AB5F3F" w:rsidRPr="00B6602D">
        <w:t xml:space="preserve"> </w:t>
      </w:r>
      <w:r w:rsidR="007A0EE1" w:rsidRPr="00B6602D">
        <w:t xml:space="preserve">до 15 760 262,4 </w:t>
      </w:r>
      <w:r w:rsidRPr="00B6602D">
        <w:t>тыс. рублей (+</w:t>
      </w:r>
      <w:r w:rsidR="007A0EE1" w:rsidRPr="00B6602D">
        <w:t>618 990,3</w:t>
      </w:r>
      <w:r w:rsidR="00AB5F3F" w:rsidRPr="00B6602D">
        <w:t xml:space="preserve"> </w:t>
      </w:r>
      <w:r w:rsidRPr="00B6602D">
        <w:t>тыс. рублей);</w:t>
      </w:r>
    </w:p>
    <w:p w:rsidR="00DE3D37" w:rsidRPr="00B6602D" w:rsidRDefault="00DE3D37" w:rsidP="000C25EB">
      <w:pPr>
        <w:autoSpaceDE w:val="0"/>
        <w:autoSpaceDN w:val="0"/>
        <w:adjustRightInd w:val="0"/>
        <w:ind w:firstLine="567"/>
        <w:jc w:val="both"/>
      </w:pPr>
      <w:r w:rsidRPr="00B6602D">
        <w:t>в 202</w:t>
      </w:r>
      <w:r w:rsidR="009C0FC5" w:rsidRPr="00B6602D">
        <w:t>6</w:t>
      </w:r>
      <w:r w:rsidRPr="00B6602D">
        <w:t xml:space="preserve"> году с </w:t>
      </w:r>
      <w:r w:rsidR="00EB339A" w:rsidRPr="00B6602D">
        <w:t>14 556 581,6</w:t>
      </w:r>
      <w:r w:rsidR="00AB5F3F" w:rsidRPr="00B6602D">
        <w:t xml:space="preserve"> </w:t>
      </w:r>
      <w:r w:rsidR="00B6602D" w:rsidRPr="00B6602D">
        <w:t xml:space="preserve">до 14 556 433,7 </w:t>
      </w:r>
      <w:r w:rsidRPr="00B6602D">
        <w:t xml:space="preserve">тыс. рублей </w:t>
      </w:r>
      <w:r w:rsidR="00B6602D" w:rsidRPr="00B6602D">
        <w:t>(-147,9</w:t>
      </w:r>
      <w:r w:rsidR="00EB339A" w:rsidRPr="00B6602D">
        <w:t xml:space="preserve"> </w:t>
      </w:r>
      <w:r w:rsidRPr="00B6602D">
        <w:t>тыс. рублей);</w:t>
      </w:r>
    </w:p>
    <w:p w:rsidR="00DE3D37" w:rsidRPr="00B6602D" w:rsidRDefault="00DE3D37" w:rsidP="000C25EB">
      <w:pPr>
        <w:autoSpaceDE w:val="0"/>
        <w:autoSpaceDN w:val="0"/>
        <w:adjustRightInd w:val="0"/>
        <w:ind w:firstLine="567"/>
        <w:jc w:val="both"/>
      </w:pPr>
      <w:r w:rsidRPr="00B6602D">
        <w:t>в 202</w:t>
      </w:r>
      <w:r w:rsidR="009C0FC5" w:rsidRPr="00B6602D">
        <w:t>7</w:t>
      </w:r>
      <w:r w:rsidRPr="00B6602D">
        <w:t xml:space="preserve"> году с </w:t>
      </w:r>
      <w:r w:rsidR="00EB339A" w:rsidRPr="00B6602D">
        <w:t>14 531 473,7</w:t>
      </w:r>
      <w:r w:rsidR="00AB5F3F" w:rsidRPr="00B6602D">
        <w:t xml:space="preserve"> </w:t>
      </w:r>
      <w:r w:rsidR="00B6602D" w:rsidRPr="00B6602D">
        <w:t xml:space="preserve">до 14529 742,9 тыс. рублей (- 1 730,8 </w:t>
      </w:r>
      <w:r w:rsidRPr="00B6602D">
        <w:t>тыс. рублей).</w:t>
      </w:r>
    </w:p>
    <w:p w:rsidR="00DE3D37" w:rsidRPr="00B6602D" w:rsidRDefault="00DE3D37" w:rsidP="000C25EB">
      <w:pPr>
        <w:autoSpaceDE w:val="0"/>
        <w:autoSpaceDN w:val="0"/>
        <w:adjustRightInd w:val="0"/>
        <w:spacing w:before="60"/>
        <w:ind w:firstLine="567"/>
        <w:jc w:val="both"/>
      </w:pPr>
      <w:r w:rsidRPr="00B6602D">
        <w:t>Основные причины изменений, вносимых в расходную часть бюджета:</w:t>
      </w:r>
    </w:p>
    <w:p w:rsidR="00DE3D37" w:rsidRPr="00B6602D" w:rsidRDefault="00DE3D37" w:rsidP="000C25EB">
      <w:pPr>
        <w:autoSpaceDE w:val="0"/>
        <w:autoSpaceDN w:val="0"/>
        <w:adjustRightInd w:val="0"/>
        <w:ind w:firstLine="567"/>
        <w:jc w:val="both"/>
      </w:pPr>
      <w:r w:rsidRPr="00B6602D">
        <w:t>- увеличение объема налоговых и неналоговых доходов;</w:t>
      </w:r>
    </w:p>
    <w:p w:rsidR="00DE3D37" w:rsidRPr="00B6602D" w:rsidRDefault="00DE3D37" w:rsidP="000C25EB">
      <w:pPr>
        <w:autoSpaceDE w:val="0"/>
        <w:autoSpaceDN w:val="0"/>
        <w:adjustRightInd w:val="0"/>
        <w:ind w:firstLine="567"/>
        <w:jc w:val="both"/>
      </w:pPr>
      <w:r w:rsidRPr="00B6602D">
        <w:t xml:space="preserve">- </w:t>
      </w:r>
      <w:r w:rsidR="00EB339A" w:rsidRPr="00B6602D">
        <w:t>увелич</w:t>
      </w:r>
      <w:r w:rsidRPr="00B6602D">
        <w:t>ение объема безвозмездных поступлений</w:t>
      </w:r>
      <w:r w:rsidR="00F80FC2" w:rsidRPr="00B6602D">
        <w:t>.</w:t>
      </w:r>
    </w:p>
    <w:p w:rsidR="00DE3D37" w:rsidRPr="00B6602D" w:rsidRDefault="00DE3D37" w:rsidP="000C25EB">
      <w:pPr>
        <w:autoSpaceDE w:val="0"/>
        <w:autoSpaceDN w:val="0"/>
        <w:adjustRightInd w:val="0"/>
        <w:spacing w:before="60"/>
        <w:ind w:firstLine="567"/>
        <w:jc w:val="both"/>
      </w:pPr>
      <w:r w:rsidRPr="00B6602D">
        <w:t>Прогнозируемый размер дефицита бюджета:</w:t>
      </w:r>
    </w:p>
    <w:p w:rsidR="00EB339A" w:rsidRPr="00B6602D" w:rsidRDefault="00EB339A" w:rsidP="00EB339A">
      <w:pPr>
        <w:autoSpaceDE w:val="0"/>
        <w:autoSpaceDN w:val="0"/>
        <w:adjustRightInd w:val="0"/>
        <w:ind w:firstLine="567"/>
        <w:jc w:val="both"/>
      </w:pPr>
      <w:r w:rsidRPr="00B6602D">
        <w:t xml:space="preserve">2025 год </w:t>
      </w:r>
      <w:r w:rsidRPr="00B6602D">
        <w:rPr>
          <w:bCs/>
        </w:rPr>
        <w:t>–</w:t>
      </w:r>
      <w:r w:rsidRPr="00B6602D">
        <w:t xml:space="preserve"> 6</w:t>
      </w:r>
      <w:r w:rsidR="00B6602D" w:rsidRPr="00B6602D">
        <w:t>9</w:t>
      </w:r>
      <w:r w:rsidRPr="00B6602D">
        <w:t>5 551,4 тыс. рублей (+</w:t>
      </w:r>
      <w:r w:rsidR="00B6602D" w:rsidRPr="00B6602D">
        <w:t>20 000,0</w:t>
      </w:r>
      <w:r w:rsidRPr="00B6602D">
        <w:t xml:space="preserve"> тыс. рублей);</w:t>
      </w:r>
    </w:p>
    <w:p w:rsidR="00EB339A" w:rsidRPr="00B6602D" w:rsidRDefault="00EB339A" w:rsidP="00EB339A">
      <w:pPr>
        <w:autoSpaceDE w:val="0"/>
        <w:autoSpaceDN w:val="0"/>
        <w:adjustRightInd w:val="0"/>
        <w:ind w:firstLine="567"/>
        <w:jc w:val="both"/>
        <w:rPr>
          <w:bCs/>
        </w:rPr>
      </w:pPr>
      <w:r w:rsidRPr="00B6602D">
        <w:rPr>
          <w:bCs/>
        </w:rPr>
        <w:t>2026 год – 539 634,3 тыс. рублей (без изменений);</w:t>
      </w:r>
    </w:p>
    <w:p w:rsidR="00EB339A" w:rsidRPr="00B6602D" w:rsidRDefault="00EB339A" w:rsidP="00EB339A">
      <w:pPr>
        <w:autoSpaceDE w:val="0"/>
        <w:autoSpaceDN w:val="0"/>
        <w:adjustRightInd w:val="0"/>
        <w:ind w:firstLine="567"/>
        <w:jc w:val="both"/>
        <w:rPr>
          <w:bCs/>
        </w:rPr>
      </w:pPr>
      <w:r w:rsidRPr="00B6602D">
        <w:rPr>
          <w:bCs/>
        </w:rPr>
        <w:t>2027 год – 544 424,4 тыс. рублей (без изменений).</w:t>
      </w:r>
    </w:p>
    <w:p w:rsidR="00DE3D37" w:rsidRPr="00B6602D" w:rsidRDefault="00DE3D37" w:rsidP="000C25EB">
      <w:pPr>
        <w:autoSpaceDE w:val="0"/>
        <w:autoSpaceDN w:val="0"/>
        <w:adjustRightInd w:val="0"/>
        <w:ind w:firstLine="567"/>
        <w:jc w:val="both"/>
      </w:pPr>
      <w:r w:rsidRPr="00B6602D">
        <w:t xml:space="preserve">Планируемый размер дефицита бюджета на текущий финансовый год и на плановый период не </w:t>
      </w:r>
      <w:proofErr w:type="gramStart"/>
      <w:r w:rsidRPr="00B6602D">
        <w:t>противоречит требованиям пункта 3 статьи 92.1 Бюджетного кодекса Российской Федерации и в соответствии с требованиями бюджетного законодательства в полном объеме покрывается</w:t>
      </w:r>
      <w:proofErr w:type="gramEnd"/>
      <w:r w:rsidRPr="00B6602D">
        <w:t xml:space="preserve"> источниками финансирования дефицита бюджета.</w:t>
      </w:r>
    </w:p>
    <w:p w:rsidR="001C56C3" w:rsidRPr="00F9048D" w:rsidRDefault="001C56C3" w:rsidP="008C3B19">
      <w:pPr>
        <w:autoSpaceDE w:val="0"/>
        <w:autoSpaceDN w:val="0"/>
        <w:adjustRightInd w:val="0"/>
        <w:spacing w:before="60"/>
        <w:ind w:firstLine="567"/>
        <w:jc w:val="both"/>
      </w:pPr>
      <w:r w:rsidRPr="00F9048D">
        <w:t>Проектом решения предлагается увеличить в 2025 году объем привлечения кредитов от кредитных организаций на 20 000,0 тыс. рублей</w:t>
      </w:r>
      <w:r w:rsidR="008C3B19">
        <w:t>.</w:t>
      </w:r>
    </w:p>
    <w:p w:rsidR="001C56C3" w:rsidRPr="00F9048D" w:rsidRDefault="00084233" w:rsidP="008C3B19">
      <w:pPr>
        <w:autoSpaceDE w:val="0"/>
        <w:autoSpaceDN w:val="0"/>
        <w:adjustRightInd w:val="0"/>
        <w:spacing w:before="60"/>
        <w:ind w:firstLine="567"/>
        <w:jc w:val="both"/>
        <w:rPr>
          <w:bCs/>
        </w:rPr>
      </w:pPr>
      <w:r>
        <w:t>Проектом решения предлагалось увеличить в 2025 году</w:t>
      </w:r>
      <w:r w:rsidR="001C56C3" w:rsidRPr="00F9048D">
        <w:t xml:space="preserve"> </w:t>
      </w:r>
      <w:r w:rsidR="001C56C3" w:rsidRPr="00F9048D">
        <w:rPr>
          <w:bCs/>
        </w:rPr>
        <w:t xml:space="preserve">расходы на обслуживание муниципального долга на </w:t>
      </w:r>
      <w:r>
        <w:rPr>
          <w:bCs/>
        </w:rPr>
        <w:t>57 183,6</w:t>
      </w:r>
      <w:r w:rsidR="001C56C3" w:rsidRPr="00F9048D">
        <w:rPr>
          <w:bCs/>
        </w:rPr>
        <w:t xml:space="preserve"> тыс. рублей (с 126 241,7 до 1</w:t>
      </w:r>
      <w:r>
        <w:rPr>
          <w:bCs/>
        </w:rPr>
        <w:t>83 425,3</w:t>
      </w:r>
      <w:r w:rsidR="001C56C3" w:rsidRPr="00F9048D">
        <w:rPr>
          <w:bCs/>
        </w:rPr>
        <w:t xml:space="preserve"> тыс. рублей).</w:t>
      </w:r>
    </w:p>
    <w:p w:rsidR="001C56C3" w:rsidRDefault="00F35260" w:rsidP="001C56C3">
      <w:pPr>
        <w:autoSpaceDE w:val="0"/>
        <w:autoSpaceDN w:val="0"/>
        <w:adjustRightInd w:val="0"/>
        <w:ind w:firstLine="567"/>
        <w:jc w:val="both"/>
        <w:rPr>
          <w:bCs/>
        </w:rPr>
      </w:pPr>
      <w:r>
        <w:rPr>
          <w:bCs/>
        </w:rPr>
        <w:t>В заключени</w:t>
      </w:r>
      <w:proofErr w:type="gramStart"/>
      <w:r>
        <w:rPr>
          <w:bCs/>
        </w:rPr>
        <w:t>и</w:t>
      </w:r>
      <w:proofErr w:type="gramEnd"/>
      <w:r>
        <w:rPr>
          <w:bCs/>
        </w:rPr>
        <w:t xml:space="preserve"> Контрольно-счетной палаты указано, что</w:t>
      </w:r>
      <w:r w:rsidR="001C56C3" w:rsidRPr="001C56C3">
        <w:rPr>
          <w:bCs/>
        </w:rPr>
        <w:t xml:space="preserve"> с начала 2025 года объем расходов </w:t>
      </w:r>
      <w:r w:rsidRPr="00F9048D">
        <w:rPr>
          <w:bCs/>
        </w:rPr>
        <w:t xml:space="preserve">на обслуживание муниципального долга </w:t>
      </w:r>
      <w:proofErr w:type="gramStart"/>
      <w:r w:rsidR="001C56C3" w:rsidRPr="001C56C3">
        <w:rPr>
          <w:bCs/>
        </w:rPr>
        <w:t>увеличен</w:t>
      </w:r>
      <w:proofErr w:type="gramEnd"/>
      <w:r w:rsidR="001C56C3" w:rsidRPr="001C56C3">
        <w:rPr>
          <w:bCs/>
        </w:rPr>
        <w:t xml:space="preserve"> на </w:t>
      </w:r>
      <w:r>
        <w:rPr>
          <w:bCs/>
        </w:rPr>
        <w:t>87 183,6</w:t>
      </w:r>
      <w:r w:rsidR="001C56C3" w:rsidRPr="001C56C3">
        <w:rPr>
          <w:bCs/>
        </w:rPr>
        <w:t xml:space="preserve"> тыс. рублей или </w:t>
      </w:r>
      <w:r>
        <w:rPr>
          <w:bCs/>
        </w:rPr>
        <w:t>в 1,9 раза</w:t>
      </w:r>
      <w:r w:rsidR="001C56C3" w:rsidRPr="001C56C3">
        <w:rPr>
          <w:bCs/>
        </w:rPr>
        <w:t xml:space="preserve"> (с 96 241,7 до 1</w:t>
      </w:r>
      <w:r>
        <w:rPr>
          <w:bCs/>
        </w:rPr>
        <w:t>83 425,3</w:t>
      </w:r>
      <w:r w:rsidR="001C56C3" w:rsidRPr="001C56C3">
        <w:rPr>
          <w:bCs/>
        </w:rPr>
        <w:t xml:space="preserve"> тыс. рублей).</w:t>
      </w:r>
    </w:p>
    <w:p w:rsidR="00D308F5" w:rsidRPr="001C56C3" w:rsidRDefault="00D308F5" w:rsidP="001C56C3">
      <w:pPr>
        <w:autoSpaceDE w:val="0"/>
        <w:autoSpaceDN w:val="0"/>
        <w:adjustRightInd w:val="0"/>
        <w:ind w:firstLine="567"/>
        <w:jc w:val="both"/>
      </w:pPr>
      <w:r w:rsidRPr="00D308F5">
        <w:rPr>
          <w:bCs/>
        </w:rPr>
        <w:t xml:space="preserve">По итогам рассмотрения Проекта решения </w:t>
      </w:r>
      <w:r w:rsidR="0022067A">
        <w:rPr>
          <w:bCs/>
        </w:rPr>
        <w:t xml:space="preserve">расходы на обслуживание муниципального долга увеличены </w:t>
      </w:r>
      <w:r w:rsidR="00C174DE">
        <w:rPr>
          <w:bCs/>
        </w:rPr>
        <w:t xml:space="preserve">только </w:t>
      </w:r>
      <w:r w:rsidR="0022067A">
        <w:rPr>
          <w:bCs/>
        </w:rPr>
        <w:t xml:space="preserve">на 20 000,0 тыс. рублей (до 146 241,7 тыс. рублей), </w:t>
      </w:r>
      <w:r w:rsidR="00C174DE">
        <w:rPr>
          <w:bCs/>
        </w:rPr>
        <w:t xml:space="preserve">а </w:t>
      </w:r>
      <w:r w:rsidR="0022067A">
        <w:rPr>
          <w:bCs/>
        </w:rPr>
        <w:t xml:space="preserve">средства в сумме 37 183,6 тыс. рублей </w:t>
      </w:r>
      <w:r w:rsidR="00C174DE">
        <w:rPr>
          <w:bCs/>
        </w:rPr>
        <w:t>перераспреде</w:t>
      </w:r>
      <w:r w:rsidR="0022067A">
        <w:rPr>
          <w:bCs/>
        </w:rPr>
        <w:t>лены на исполнение судебных актов.</w:t>
      </w:r>
    </w:p>
    <w:p w:rsidR="001C56C3" w:rsidRPr="001C56C3" w:rsidRDefault="001C56C3" w:rsidP="00D308F5">
      <w:pPr>
        <w:spacing w:before="60"/>
        <w:ind w:firstLine="567"/>
        <w:jc w:val="both"/>
      </w:pPr>
      <w:r w:rsidRPr="001C56C3">
        <w:t>В связи с увеличением объема кредитов от кредитных организаций Проектом решения предлагается увеличить плановые значения верхнего предела муниципального долга по итогам 2025-2027 годов на 20 000,0 тыс. рублей:</w:t>
      </w:r>
    </w:p>
    <w:p w:rsidR="001C56C3" w:rsidRPr="001C56C3" w:rsidRDefault="001C56C3" w:rsidP="001C56C3">
      <w:pPr>
        <w:ind w:firstLine="567"/>
        <w:jc w:val="both"/>
      </w:pPr>
      <w:r w:rsidRPr="001C56C3">
        <w:t>по состоянию на 1 января 2026 года с 2 217 152,4 до 2 237 152,4 тыс. рублей;</w:t>
      </w:r>
    </w:p>
    <w:p w:rsidR="001C56C3" w:rsidRPr="001C56C3" w:rsidRDefault="001C56C3" w:rsidP="001C56C3">
      <w:pPr>
        <w:ind w:firstLine="567"/>
        <w:jc w:val="both"/>
      </w:pPr>
      <w:r w:rsidRPr="001C56C3">
        <w:t>по состоянию на 1 января 2027 года с 2 756 786,7 до 2 776 786,7 тыс. рублей;</w:t>
      </w:r>
    </w:p>
    <w:p w:rsidR="001C56C3" w:rsidRPr="001C56C3" w:rsidRDefault="001C56C3" w:rsidP="001C56C3">
      <w:pPr>
        <w:ind w:firstLine="567"/>
        <w:jc w:val="both"/>
      </w:pPr>
      <w:r w:rsidRPr="001C56C3">
        <w:t>по состоянию на 1 января 2028 года с 3 301 211,1 до 3 321 211,1 тыс. рублей.</w:t>
      </w:r>
    </w:p>
    <w:p w:rsidR="00440E16" w:rsidRPr="001C56C3" w:rsidRDefault="00440E16" w:rsidP="00440E16">
      <w:pPr>
        <w:ind w:firstLine="567"/>
        <w:jc w:val="both"/>
      </w:pPr>
      <w:r w:rsidRPr="001C56C3">
        <w:t>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w:t>
      </w:r>
    </w:p>
    <w:p w:rsidR="00DC477E" w:rsidRPr="00DC477E" w:rsidRDefault="00DC477E" w:rsidP="003427AA">
      <w:pPr>
        <w:autoSpaceDE w:val="0"/>
        <w:autoSpaceDN w:val="0"/>
        <w:adjustRightInd w:val="0"/>
        <w:spacing w:before="60"/>
        <w:ind w:firstLine="567"/>
        <w:jc w:val="both"/>
      </w:pPr>
      <w:r w:rsidRPr="00DC477E">
        <w:t>Увеличение объемов финансирования по непрограммным направлениям деятельности обусловлено в основном увеличением общего объема расходов, запланированных на исполнение судебных актов по обращению взыскания на средства бюджета на 60 338,5 тыс. рублей или 55,2 процента (с 109 239,5 до 169 578,0 тыс. рублей).</w:t>
      </w:r>
    </w:p>
    <w:p w:rsidR="00DC477E" w:rsidRPr="00DC477E" w:rsidRDefault="00DC477E" w:rsidP="00FC2885">
      <w:pPr>
        <w:autoSpaceDE w:val="0"/>
        <w:autoSpaceDN w:val="0"/>
        <w:adjustRightInd w:val="0"/>
        <w:spacing w:before="60"/>
        <w:ind w:firstLine="567"/>
        <w:jc w:val="both"/>
      </w:pPr>
      <w:r w:rsidRPr="00DC477E">
        <w:lastRenderedPageBreak/>
        <w:t xml:space="preserve">Проектом решения планируется </w:t>
      </w:r>
      <w:r w:rsidRPr="00DC477E">
        <w:rPr>
          <w:bCs/>
        </w:rPr>
        <w:t>увеличение</w:t>
      </w:r>
      <w:r w:rsidRPr="00DC477E">
        <w:t xml:space="preserve"> в 2026-2027 </w:t>
      </w:r>
      <w:proofErr w:type="gramStart"/>
      <w:r w:rsidRPr="00DC477E">
        <w:t>годах</w:t>
      </w:r>
      <w:proofErr w:type="gramEnd"/>
      <w:r w:rsidRPr="00DC477E">
        <w:t xml:space="preserve"> объема условно утверждаемых (утвержденных) расходов:</w:t>
      </w:r>
    </w:p>
    <w:p w:rsidR="00DC477E" w:rsidRPr="00DC477E" w:rsidRDefault="00DC477E" w:rsidP="00FC2885">
      <w:pPr>
        <w:autoSpaceDE w:val="0"/>
        <w:autoSpaceDN w:val="0"/>
        <w:adjustRightInd w:val="0"/>
        <w:ind w:firstLine="567"/>
        <w:jc w:val="both"/>
        <w:rPr>
          <w:bCs/>
        </w:rPr>
      </w:pPr>
      <w:r w:rsidRPr="00DC477E">
        <w:rPr>
          <w:bCs/>
        </w:rPr>
        <w:t>2026 год – на 392,0 тыс. рублей (с 380 664,0 до 381 056,0 тыс. рублей);</w:t>
      </w:r>
    </w:p>
    <w:p w:rsidR="00DC477E" w:rsidRPr="00DC477E" w:rsidRDefault="00DC477E" w:rsidP="00FC2885">
      <w:pPr>
        <w:autoSpaceDE w:val="0"/>
        <w:autoSpaceDN w:val="0"/>
        <w:adjustRightInd w:val="0"/>
        <w:ind w:firstLine="567"/>
        <w:jc w:val="both"/>
        <w:rPr>
          <w:bCs/>
        </w:rPr>
      </w:pPr>
      <w:r w:rsidRPr="00DC477E">
        <w:rPr>
          <w:bCs/>
        </w:rPr>
        <w:t>2027 год – на 392,0 тыс. рублей (с 530 664,0 до 531 056,0 тыс. рублей).</w:t>
      </w:r>
    </w:p>
    <w:p w:rsidR="00DC477E" w:rsidRPr="00DC477E" w:rsidRDefault="00DC477E" w:rsidP="00FC2885">
      <w:pPr>
        <w:autoSpaceDE w:val="0"/>
        <w:autoSpaceDN w:val="0"/>
        <w:adjustRightInd w:val="0"/>
        <w:spacing w:before="120"/>
        <w:ind w:firstLine="567"/>
        <w:jc w:val="both"/>
      </w:pPr>
      <w:r w:rsidRPr="00DC477E">
        <w:t>Проектом решения планируется сокращ</w:t>
      </w:r>
      <w:r w:rsidRPr="00DC477E">
        <w:rPr>
          <w:bCs/>
        </w:rPr>
        <w:t>ение</w:t>
      </w:r>
      <w:r w:rsidRPr="00DC477E">
        <w:t xml:space="preserve"> в 2025-2027 </w:t>
      </w:r>
      <w:proofErr w:type="gramStart"/>
      <w:r w:rsidRPr="00DC477E">
        <w:t>годах</w:t>
      </w:r>
      <w:proofErr w:type="gramEnd"/>
      <w:r w:rsidRPr="00DC477E">
        <w:t xml:space="preserve"> объема бюджетных ассигнований на исполнение публичных нормативных обязательств МО ГО "Сыктывкар":</w:t>
      </w:r>
    </w:p>
    <w:p w:rsidR="00DC477E" w:rsidRPr="00DC477E" w:rsidRDefault="00DC477E" w:rsidP="00FC2885">
      <w:pPr>
        <w:autoSpaceDE w:val="0"/>
        <w:autoSpaceDN w:val="0"/>
        <w:adjustRightInd w:val="0"/>
        <w:ind w:firstLine="567"/>
        <w:jc w:val="both"/>
        <w:rPr>
          <w:bCs/>
        </w:rPr>
      </w:pPr>
      <w:r w:rsidRPr="00DC477E">
        <w:rPr>
          <w:bCs/>
        </w:rPr>
        <w:t>2025 год – на 288,</w:t>
      </w:r>
      <w:r w:rsidR="009B4166">
        <w:rPr>
          <w:bCs/>
        </w:rPr>
        <w:t>5</w:t>
      </w:r>
      <w:r w:rsidRPr="00DC477E">
        <w:rPr>
          <w:bCs/>
        </w:rPr>
        <w:t xml:space="preserve"> тыс. рублей (с 2 544,0 до 2 255,5 тыс. рублей);</w:t>
      </w:r>
    </w:p>
    <w:p w:rsidR="00DC477E" w:rsidRPr="00DC477E" w:rsidRDefault="00DC477E" w:rsidP="00FC2885">
      <w:pPr>
        <w:autoSpaceDE w:val="0"/>
        <w:autoSpaceDN w:val="0"/>
        <w:adjustRightInd w:val="0"/>
        <w:ind w:firstLine="567"/>
        <w:jc w:val="both"/>
        <w:rPr>
          <w:bCs/>
        </w:rPr>
      </w:pPr>
      <w:r w:rsidRPr="00DC477E">
        <w:rPr>
          <w:bCs/>
        </w:rPr>
        <w:t>2026 год – на 392,0 тыс. рублей (с 2 792,0 до 2 400,0 тыс. рублей);</w:t>
      </w:r>
    </w:p>
    <w:p w:rsidR="00DC477E" w:rsidRPr="00DC477E" w:rsidRDefault="00DC477E" w:rsidP="00FC2885">
      <w:pPr>
        <w:autoSpaceDE w:val="0"/>
        <w:autoSpaceDN w:val="0"/>
        <w:adjustRightInd w:val="0"/>
        <w:ind w:firstLine="567"/>
        <w:jc w:val="both"/>
        <w:rPr>
          <w:bCs/>
        </w:rPr>
      </w:pPr>
      <w:r w:rsidRPr="00DC477E">
        <w:rPr>
          <w:bCs/>
        </w:rPr>
        <w:t>2027 год – на 392,0 тыс. рублей (с 2 960,0 до 2 568,0 тыс. рублей).</w:t>
      </w:r>
    </w:p>
    <w:p w:rsidR="00DC477E" w:rsidRPr="00DC477E" w:rsidRDefault="00DC477E" w:rsidP="00FC2885">
      <w:pPr>
        <w:autoSpaceDE w:val="0"/>
        <w:autoSpaceDN w:val="0"/>
        <w:adjustRightInd w:val="0"/>
        <w:spacing w:before="120"/>
        <w:ind w:firstLine="567"/>
        <w:jc w:val="both"/>
        <w:rPr>
          <w:bCs/>
        </w:rPr>
      </w:pPr>
      <w:r w:rsidRPr="00DC477E">
        <w:t xml:space="preserve">Проектом решения планируется </w:t>
      </w:r>
      <w:r w:rsidRPr="00DC477E">
        <w:rPr>
          <w:bCs/>
        </w:rPr>
        <w:t>увеличение</w:t>
      </w:r>
      <w:r w:rsidRPr="00DC477E">
        <w:t xml:space="preserve"> в 2025-2027 </w:t>
      </w:r>
      <w:proofErr w:type="gramStart"/>
      <w:r w:rsidRPr="00DC477E">
        <w:t>годах</w:t>
      </w:r>
      <w:proofErr w:type="gramEnd"/>
      <w:r w:rsidRPr="00DC477E">
        <w:t xml:space="preserve"> объема бюджетных ассигнований</w:t>
      </w:r>
      <w:r w:rsidRPr="00DC477E">
        <w:rPr>
          <w:bCs/>
        </w:rPr>
        <w:t xml:space="preserve"> муниципального дорожного фонда МО ГО "Сыктывкар":</w:t>
      </w:r>
    </w:p>
    <w:p w:rsidR="00DC477E" w:rsidRPr="00DC477E" w:rsidRDefault="00DC477E" w:rsidP="00FC2885">
      <w:pPr>
        <w:autoSpaceDE w:val="0"/>
        <w:autoSpaceDN w:val="0"/>
        <w:adjustRightInd w:val="0"/>
        <w:ind w:firstLine="567"/>
        <w:jc w:val="both"/>
        <w:rPr>
          <w:bCs/>
        </w:rPr>
      </w:pPr>
      <w:r w:rsidRPr="00DC477E">
        <w:rPr>
          <w:bCs/>
        </w:rPr>
        <w:t>2025 год – на 30 043,6 тыс. рублей (с 619 575,6 до 649 619,2 тыс. рублей);</w:t>
      </w:r>
    </w:p>
    <w:p w:rsidR="00DC477E" w:rsidRPr="00DC477E" w:rsidRDefault="00DC477E" w:rsidP="00FC2885">
      <w:pPr>
        <w:autoSpaceDE w:val="0"/>
        <w:autoSpaceDN w:val="0"/>
        <w:adjustRightInd w:val="0"/>
        <w:ind w:firstLine="567"/>
        <w:jc w:val="both"/>
        <w:rPr>
          <w:bCs/>
        </w:rPr>
      </w:pPr>
      <w:r w:rsidRPr="00DC477E">
        <w:rPr>
          <w:bCs/>
        </w:rPr>
        <w:t>2026 год – на 230 561,7 тыс. рублей (с 150 703,4 до 381 265,1 тыс. рублей);</w:t>
      </w:r>
    </w:p>
    <w:p w:rsidR="00DC477E" w:rsidRPr="00DC477E" w:rsidRDefault="00DC477E" w:rsidP="00FC2885">
      <w:pPr>
        <w:autoSpaceDE w:val="0"/>
        <w:autoSpaceDN w:val="0"/>
        <w:adjustRightInd w:val="0"/>
        <w:ind w:firstLine="567"/>
        <w:jc w:val="both"/>
        <w:rPr>
          <w:bCs/>
        </w:rPr>
      </w:pPr>
      <w:r w:rsidRPr="00DC477E">
        <w:rPr>
          <w:bCs/>
        </w:rPr>
        <w:t>2027 год – на 462 315,6 тыс. рублей (с 148 990,8 до 611 306,4 тыс. рублей).</w:t>
      </w:r>
    </w:p>
    <w:p w:rsidR="00DC477E" w:rsidRPr="008702D2" w:rsidRDefault="00DC477E" w:rsidP="00FC2885">
      <w:pPr>
        <w:autoSpaceDE w:val="0"/>
        <w:autoSpaceDN w:val="0"/>
        <w:adjustRightInd w:val="0"/>
        <w:spacing w:before="120"/>
        <w:ind w:firstLine="567"/>
        <w:jc w:val="both"/>
      </w:pPr>
      <w:r w:rsidRPr="008702D2">
        <w:t>Проектом решения планируется увеличение в 2025 году объема бюджетных ассигнований на реализацию инвестиционных проектов, финансируемых за счет бюджетных средств:</w:t>
      </w:r>
    </w:p>
    <w:p w:rsidR="00DC477E" w:rsidRPr="008702D2" w:rsidRDefault="00DC477E" w:rsidP="00FC2885">
      <w:pPr>
        <w:autoSpaceDE w:val="0"/>
        <w:autoSpaceDN w:val="0"/>
        <w:adjustRightInd w:val="0"/>
        <w:ind w:firstLine="567"/>
        <w:jc w:val="both"/>
      </w:pPr>
      <w:r w:rsidRPr="008702D2">
        <w:t>2025 год – на 255 621,4 тыс. рублей (с 1 015 491,9 до 1 271 113,3 тыс. рублей);</w:t>
      </w:r>
    </w:p>
    <w:p w:rsidR="00DC477E" w:rsidRPr="008702D2" w:rsidRDefault="00DC477E" w:rsidP="00FC2885">
      <w:pPr>
        <w:ind w:firstLine="567"/>
        <w:jc w:val="both"/>
        <w:rPr>
          <w:bCs/>
        </w:rPr>
      </w:pPr>
      <w:r w:rsidRPr="008702D2">
        <w:rPr>
          <w:bCs/>
        </w:rPr>
        <w:t>2026 год – без изменений (803 129,1 тыс. рублей);</w:t>
      </w:r>
    </w:p>
    <w:p w:rsidR="00DC477E" w:rsidRPr="008702D2" w:rsidRDefault="00DC477E" w:rsidP="00FC2885">
      <w:pPr>
        <w:ind w:firstLine="567"/>
        <w:jc w:val="both"/>
        <w:rPr>
          <w:bCs/>
        </w:rPr>
      </w:pPr>
      <w:r w:rsidRPr="008702D2">
        <w:rPr>
          <w:bCs/>
        </w:rPr>
        <w:t>2027 год – без изменений (560 400,2 тыс. рублей).</w:t>
      </w:r>
    </w:p>
    <w:p w:rsidR="00DC477E" w:rsidRPr="008702D2" w:rsidRDefault="00DC477E" w:rsidP="00FC2885">
      <w:pPr>
        <w:ind w:firstLine="567"/>
        <w:jc w:val="both"/>
        <w:rPr>
          <w:bCs/>
        </w:rPr>
      </w:pPr>
      <w:r w:rsidRPr="008702D2">
        <w:rPr>
          <w:bCs/>
        </w:rPr>
        <w:t>В перечень инвестиционных проектов планируется внести следующие изменения:</w:t>
      </w:r>
    </w:p>
    <w:p w:rsidR="00DC477E" w:rsidRPr="008702D2" w:rsidRDefault="00DC477E" w:rsidP="00FC2885">
      <w:pPr>
        <w:ind w:firstLine="567"/>
        <w:jc w:val="both"/>
        <w:rPr>
          <w:bCs/>
        </w:rPr>
      </w:pPr>
      <w:r w:rsidRPr="008702D2">
        <w:rPr>
          <w:bCs/>
        </w:rPr>
        <w:t>- включить 2 проекта:</w:t>
      </w:r>
    </w:p>
    <w:p w:rsidR="00DC477E" w:rsidRPr="008702D2" w:rsidRDefault="00DC477E" w:rsidP="00FC2885">
      <w:pPr>
        <w:ind w:firstLine="567"/>
        <w:jc w:val="both"/>
        <w:rPr>
          <w:bCs/>
        </w:rPr>
      </w:pPr>
      <w:r w:rsidRPr="008702D2">
        <w:rPr>
          <w:bCs/>
        </w:rPr>
        <w:t xml:space="preserve">Водоснабжение </w:t>
      </w:r>
      <w:proofErr w:type="spellStart"/>
      <w:r w:rsidRPr="008702D2">
        <w:rPr>
          <w:bCs/>
        </w:rPr>
        <w:t>п.г.т</w:t>
      </w:r>
      <w:proofErr w:type="spellEnd"/>
      <w:r w:rsidRPr="008702D2">
        <w:rPr>
          <w:bCs/>
        </w:rPr>
        <w:t xml:space="preserve">. </w:t>
      </w:r>
      <w:proofErr w:type="spellStart"/>
      <w:r w:rsidRPr="008702D2">
        <w:rPr>
          <w:bCs/>
        </w:rPr>
        <w:t>Седкыркещ</w:t>
      </w:r>
      <w:proofErr w:type="spellEnd"/>
      <w:r w:rsidRPr="008702D2">
        <w:rPr>
          <w:bCs/>
        </w:rPr>
        <w:t xml:space="preserve"> с объемом финансирования в 2025 году 104,3 тыс. рублей;</w:t>
      </w:r>
    </w:p>
    <w:p w:rsidR="00DC477E" w:rsidRPr="008702D2" w:rsidRDefault="00DC477E" w:rsidP="00FC2885">
      <w:pPr>
        <w:ind w:firstLine="567"/>
        <w:jc w:val="both"/>
        <w:rPr>
          <w:bCs/>
        </w:rPr>
      </w:pPr>
      <w:r w:rsidRPr="008702D2">
        <w:rPr>
          <w:bCs/>
        </w:rPr>
        <w:t>Обеспечение мероприятий по исполнению вступивших в силу решений суда, касающихся изъятия недвижимого имущества для муниципальных нужд (за исключением жилых помещений) с объемом финансирования в 2025 году 1 630,0 тыс. рублей.</w:t>
      </w:r>
    </w:p>
    <w:p w:rsidR="00440E16" w:rsidRPr="009B4166" w:rsidRDefault="00DC477E" w:rsidP="00FC2885">
      <w:pPr>
        <w:autoSpaceDE w:val="0"/>
        <w:autoSpaceDN w:val="0"/>
        <w:adjustRightInd w:val="0"/>
        <w:ind w:firstLine="567"/>
        <w:jc w:val="both"/>
      </w:pPr>
      <w:r w:rsidRPr="008702D2">
        <w:t xml:space="preserve">- изменить финансирование по 15 </w:t>
      </w:r>
      <w:r w:rsidRPr="009B4166">
        <w:t xml:space="preserve">проектам, в том числе увеличить плановые объемы финансирования в 2025 году по проекту </w:t>
      </w:r>
      <w:r w:rsidRPr="009B4166">
        <w:rPr>
          <w:bCs/>
        </w:rPr>
        <w:t xml:space="preserve">Лыжная база, ул. Лесопарковая с 13 560,0 до 259 698,2 тыс. рублей (республиканский бюджет – 246 507,6 тыс. рублей, муниципальный </w:t>
      </w:r>
      <w:r w:rsidR="009B4166" w:rsidRPr="009B4166">
        <w:rPr>
          <w:bCs/>
        </w:rPr>
        <w:t xml:space="preserve">(местный) </w:t>
      </w:r>
      <w:r w:rsidRPr="009B4166">
        <w:rPr>
          <w:bCs/>
        </w:rPr>
        <w:t>бюджет – 13 190,6 тыс. рублей).</w:t>
      </w:r>
    </w:p>
    <w:p w:rsidR="00EE2D42" w:rsidRPr="008702D2" w:rsidRDefault="00EE2D42" w:rsidP="00FC2885">
      <w:pPr>
        <w:autoSpaceDE w:val="0"/>
        <w:autoSpaceDN w:val="0"/>
        <w:adjustRightInd w:val="0"/>
        <w:spacing w:before="60"/>
        <w:ind w:firstLine="567"/>
        <w:jc w:val="both"/>
        <w:outlineLvl w:val="1"/>
      </w:pPr>
      <w:r w:rsidRPr="009B4166">
        <w:t>Проектом решения предлага</w:t>
      </w:r>
      <w:r w:rsidR="00463941">
        <w:t>лось</w:t>
      </w:r>
      <w:r w:rsidRPr="009B4166">
        <w:t xml:space="preserve"> дополнить решение </w:t>
      </w:r>
      <w:r w:rsidRPr="008702D2">
        <w:t>о бюджете статьей 20 следующего содержания: "Утвердить предложения администрации МО ГО "Сыктывкар" о выделении в 2025 году бюджетных ассигнований на исполнение судебных решений согласно приложению № 8 к настоящему решению".</w:t>
      </w:r>
    </w:p>
    <w:p w:rsidR="00EE2D42" w:rsidRPr="008702D2" w:rsidRDefault="00EE2D42" w:rsidP="00FC2885">
      <w:pPr>
        <w:autoSpaceDE w:val="0"/>
        <w:autoSpaceDN w:val="0"/>
        <w:adjustRightInd w:val="0"/>
        <w:ind w:firstLine="567"/>
        <w:jc w:val="both"/>
        <w:outlineLvl w:val="1"/>
      </w:pPr>
      <w:r w:rsidRPr="008702D2">
        <w:t>Приложение № 8 содерж</w:t>
      </w:r>
      <w:r w:rsidR="000837F5">
        <w:t>ало</w:t>
      </w:r>
      <w:r w:rsidRPr="008702D2">
        <w:t xml:space="preserve"> перечень из 898 судебных решений </w:t>
      </w:r>
      <w:r w:rsidRPr="008702D2">
        <w:rPr>
          <w:bCs/>
        </w:rPr>
        <w:t>неимущественного характера, касающихся предоставления жилых помещений гражданам, сферы жилищно-коммунального хозяйства и дорожной деятельности, городского строительства и землепользования и др., а также по денежным взысканиям с казны МО ГО "Сыктывкар"</w:t>
      </w:r>
      <w:r w:rsidRPr="008702D2">
        <w:t xml:space="preserve"> вынесенных в отношении 10 главных распорядителей бюджетных средств. </w:t>
      </w:r>
    </w:p>
    <w:p w:rsidR="00EE2D42" w:rsidRDefault="00EE2D42" w:rsidP="00FC2885">
      <w:pPr>
        <w:autoSpaceDE w:val="0"/>
        <w:autoSpaceDN w:val="0"/>
        <w:adjustRightInd w:val="0"/>
        <w:ind w:firstLine="567"/>
        <w:jc w:val="both"/>
        <w:outlineLvl w:val="1"/>
      </w:pPr>
      <w:r w:rsidRPr="008702D2">
        <w:t>В заключени</w:t>
      </w:r>
      <w:proofErr w:type="gramStart"/>
      <w:r w:rsidRPr="008702D2">
        <w:t>и</w:t>
      </w:r>
      <w:proofErr w:type="gramEnd"/>
      <w:r w:rsidRPr="008702D2">
        <w:t xml:space="preserve"> Контрольно-счетной палаты указано, что общий объем бюджетных ассигнований, предусмотренный приложением № 8, составляет 15 045 418,0 тыс. рублей, что в 2,7 раза превышает объемы планируемых собственных налоговых и неналоговых доходов бюджета (5 567 232,6 тыс. рублей в предлагаемой редакции).</w:t>
      </w:r>
    </w:p>
    <w:p w:rsidR="00B8551D" w:rsidRDefault="00463941" w:rsidP="00FC2885">
      <w:pPr>
        <w:autoSpaceDE w:val="0"/>
        <w:autoSpaceDN w:val="0"/>
        <w:adjustRightInd w:val="0"/>
        <w:ind w:firstLine="567"/>
        <w:jc w:val="both"/>
        <w:outlineLvl w:val="1"/>
      </w:pPr>
      <w:r>
        <w:t>По итогам рассмотрения Проекта решения у</w:t>
      </w:r>
      <w:r w:rsidRPr="00463941">
        <w:t>твер</w:t>
      </w:r>
      <w:r>
        <w:t>ждены</w:t>
      </w:r>
      <w:r w:rsidRPr="00463941">
        <w:t xml:space="preserve"> предложения администрации МО ГО "Сыктывкар" о выделении в 2025 году бюджетных ассигнований на исполнение </w:t>
      </w:r>
      <w:r>
        <w:t xml:space="preserve">10 </w:t>
      </w:r>
      <w:r w:rsidRPr="00463941">
        <w:t>судебных решений</w:t>
      </w:r>
      <w:r>
        <w:t xml:space="preserve"> на сумму 37 183,6 тыс. рублей, предложения о выделении бюджетных ассигнований на исполнение 888 судебных решений на сумму 15 008 234,4 тыс. рублей отклонены.</w:t>
      </w:r>
    </w:p>
    <w:p w:rsidR="00FC2885" w:rsidRDefault="00FC2885" w:rsidP="00FC2885">
      <w:pPr>
        <w:autoSpaceDE w:val="0"/>
        <w:autoSpaceDN w:val="0"/>
        <w:adjustRightInd w:val="0"/>
        <w:spacing w:line="233" w:lineRule="auto"/>
        <w:ind w:firstLine="567"/>
        <w:jc w:val="both"/>
        <w:outlineLvl w:val="1"/>
        <w:rPr>
          <w:b/>
        </w:rPr>
      </w:pPr>
    </w:p>
    <w:p w:rsidR="00FC2885" w:rsidRDefault="00FC2885" w:rsidP="00FC2885">
      <w:pPr>
        <w:autoSpaceDE w:val="0"/>
        <w:autoSpaceDN w:val="0"/>
        <w:adjustRightInd w:val="0"/>
        <w:spacing w:line="233" w:lineRule="auto"/>
        <w:ind w:firstLine="567"/>
        <w:jc w:val="both"/>
        <w:outlineLvl w:val="1"/>
        <w:rPr>
          <w:b/>
        </w:rPr>
      </w:pPr>
    </w:p>
    <w:p w:rsidR="00FC2885" w:rsidRDefault="00FC2885" w:rsidP="00FC2885">
      <w:pPr>
        <w:autoSpaceDE w:val="0"/>
        <w:autoSpaceDN w:val="0"/>
        <w:adjustRightInd w:val="0"/>
        <w:spacing w:line="233" w:lineRule="auto"/>
        <w:ind w:firstLine="567"/>
        <w:jc w:val="both"/>
        <w:outlineLvl w:val="1"/>
        <w:rPr>
          <w:b/>
        </w:rPr>
      </w:pPr>
    </w:p>
    <w:p w:rsidR="00FC2885" w:rsidRPr="00FC2885" w:rsidRDefault="00FC2885" w:rsidP="00FC2885">
      <w:pPr>
        <w:autoSpaceDE w:val="0"/>
        <w:autoSpaceDN w:val="0"/>
        <w:adjustRightInd w:val="0"/>
        <w:spacing w:line="233" w:lineRule="auto"/>
        <w:ind w:firstLine="567"/>
        <w:jc w:val="both"/>
        <w:outlineLvl w:val="1"/>
        <w:rPr>
          <w:b/>
        </w:rPr>
      </w:pPr>
      <w:bookmarkStart w:id="0" w:name="_GoBack"/>
      <w:bookmarkEnd w:id="0"/>
      <w:r w:rsidRPr="00FC2885">
        <w:rPr>
          <w:b/>
        </w:rPr>
        <w:lastRenderedPageBreak/>
        <w:t>"Об утверждении Методики расчета платы по договорам на прикрепление кабельной продукции и размещение оборудования на опорах уличного освещения, являющихся собственностью муниципального образования городского округа "Сыктывкар"</w:t>
      </w:r>
    </w:p>
    <w:p w:rsidR="00FC2885" w:rsidRPr="00FC2885" w:rsidRDefault="00FC2885" w:rsidP="00FC2885">
      <w:pPr>
        <w:autoSpaceDE w:val="0"/>
        <w:autoSpaceDN w:val="0"/>
        <w:adjustRightInd w:val="0"/>
        <w:spacing w:line="233" w:lineRule="auto"/>
        <w:ind w:firstLine="567"/>
        <w:jc w:val="both"/>
        <w:outlineLvl w:val="1"/>
      </w:pPr>
      <w:r w:rsidRPr="00FC2885">
        <w:t>В соответствии с пунктом 2.9 Плана работы на 2025 год, Контрольно-счетной палатой проведена экспертиза проекта решения Совета МО ГО "Сыктывкар" "Об утверждении Методики расчета платы по договорам на прикрепление кабельной продукции и размещение оборудования на опорах уличного освещения, являющихся собственностью муниципального образования городского округа "Сыктывкар".</w:t>
      </w:r>
    </w:p>
    <w:p w:rsidR="00FC2885" w:rsidRPr="00FC2885" w:rsidRDefault="00FC2885" w:rsidP="00FC2885">
      <w:pPr>
        <w:autoSpaceDE w:val="0"/>
        <w:autoSpaceDN w:val="0"/>
        <w:adjustRightInd w:val="0"/>
        <w:spacing w:line="233" w:lineRule="auto"/>
        <w:ind w:firstLine="567"/>
        <w:jc w:val="both"/>
        <w:outlineLvl w:val="1"/>
      </w:pPr>
      <w:r w:rsidRPr="00FC2885">
        <w:t>Проведенной экспертизой установлено следующее.</w:t>
      </w:r>
    </w:p>
    <w:p w:rsidR="00FC2885" w:rsidRPr="00FC2885" w:rsidRDefault="00FC2885" w:rsidP="00FC2885">
      <w:pPr>
        <w:autoSpaceDE w:val="0"/>
        <w:autoSpaceDN w:val="0"/>
        <w:adjustRightInd w:val="0"/>
        <w:spacing w:line="233" w:lineRule="auto"/>
        <w:ind w:firstLine="567"/>
        <w:jc w:val="both"/>
        <w:outlineLvl w:val="1"/>
      </w:pPr>
      <w:r w:rsidRPr="00FC2885">
        <w:t xml:space="preserve">Проектом решения предлагается утвердить новую базовую ставку за одну опору уличного освещения в </w:t>
      </w:r>
      <w:proofErr w:type="gramStart"/>
      <w:r w:rsidRPr="00FC2885">
        <w:t>размере</w:t>
      </w:r>
      <w:proofErr w:type="gramEnd"/>
      <w:r w:rsidRPr="00FC2885">
        <w:t xml:space="preserve"> 675 рублей в месяц без учета НДС и 810 рублей с НДС, а также наделить муниципальные предприятия и учреждения полномочиями по администрированию соответствующих доходов.</w:t>
      </w:r>
    </w:p>
    <w:p w:rsidR="00FC2885" w:rsidRPr="00FC2885" w:rsidRDefault="00FC2885" w:rsidP="00FC2885">
      <w:pPr>
        <w:autoSpaceDE w:val="0"/>
        <w:autoSpaceDN w:val="0"/>
        <w:adjustRightInd w:val="0"/>
        <w:spacing w:line="233" w:lineRule="auto"/>
        <w:ind w:firstLine="567"/>
        <w:jc w:val="both"/>
        <w:outlineLvl w:val="1"/>
      </w:pPr>
      <w:r w:rsidRPr="00FC2885">
        <w:t>В остальной части Проект решения соответствует действующему решению Совета МО ГО "Сыктывкар" от 11.12.2009 № 26/12-488 "Об утверждении Методики расчета платы по договорам на прикрепление кабельной продукции и размещение оборудования на опорах уличного освещения, являющихся собственностью МО ГО "Сыктывкар".</w:t>
      </w:r>
    </w:p>
    <w:p w:rsidR="00FC2885" w:rsidRPr="00FC2885" w:rsidRDefault="00FC2885" w:rsidP="00FC2885">
      <w:pPr>
        <w:autoSpaceDE w:val="0"/>
        <w:autoSpaceDN w:val="0"/>
        <w:adjustRightInd w:val="0"/>
        <w:spacing w:line="233" w:lineRule="auto"/>
        <w:ind w:firstLine="567"/>
        <w:jc w:val="both"/>
        <w:outlineLvl w:val="1"/>
      </w:pPr>
      <w:r w:rsidRPr="00FC2885">
        <w:t>Согласно представленному финансово-экономическому обоснованию, принятие Проекта решения не потребует расходования средств бюджета. Однако Проект решения не связан с расходной частью бюджета, поскольку регулирует вопросы неналоговых доходов.</w:t>
      </w:r>
    </w:p>
    <w:p w:rsidR="00FC2885" w:rsidRPr="00FC2885" w:rsidRDefault="00FC2885" w:rsidP="00FC2885">
      <w:pPr>
        <w:autoSpaceDE w:val="0"/>
        <w:autoSpaceDN w:val="0"/>
        <w:adjustRightInd w:val="0"/>
        <w:spacing w:line="233" w:lineRule="auto"/>
        <w:ind w:firstLine="567"/>
        <w:jc w:val="both"/>
        <w:outlineLvl w:val="1"/>
      </w:pPr>
      <w:r w:rsidRPr="00FC2885">
        <w:t>При этом</w:t>
      </w:r>
      <w:proofErr w:type="gramStart"/>
      <w:r w:rsidRPr="00FC2885">
        <w:t>,</w:t>
      </w:r>
      <w:proofErr w:type="gramEnd"/>
      <w:r w:rsidRPr="00FC2885">
        <w:t xml:space="preserve"> в нарушение требований статьи 32 Регламента работы Совета МО ГО "Сыктывкар", утвержденного решением Совета МО ГО "Сыктывкар" от 27.02.2007 № 33/02-578, финансово-экономическое обоснование не содержит финансово-экономическую оценку проекта решения, принятие и дальнейшая реализация которого может оказывать влияние на изменение доходной части бюджета МО ГО "Сыктывкар".</w:t>
      </w:r>
    </w:p>
    <w:p w:rsidR="00FC2885" w:rsidRPr="00FC2885" w:rsidRDefault="00FC2885" w:rsidP="00FC2885">
      <w:pPr>
        <w:autoSpaceDE w:val="0"/>
        <w:autoSpaceDN w:val="0"/>
        <w:adjustRightInd w:val="0"/>
        <w:spacing w:line="233" w:lineRule="auto"/>
        <w:ind w:firstLine="567"/>
        <w:jc w:val="both"/>
        <w:outlineLvl w:val="1"/>
      </w:pPr>
      <w:r w:rsidRPr="00FC2885">
        <w:t xml:space="preserve">Согласно Пояснительной записке к Проекту решения </w:t>
      </w:r>
      <w:r w:rsidRPr="00FC2885">
        <w:rPr>
          <w:i/>
        </w:rPr>
        <w:t>"установление платы обусловлено необходимостью покрытия расходов по обслуживанию опор уличного освещения"</w:t>
      </w:r>
      <w:r w:rsidRPr="00FC2885">
        <w:t>, однако размер таких расходов, а также размер доходов, в том числе планируемых с учетом принятия Проекта решения, не представлен. Также не указан размер текущей базовой ставки с учетом предусмотренной действующей методикой ежегодной индексации. Не представлен отчет об оценке, на основании которого определен новый размер базовой ставки, не указаны способы и методы проведенной оценки, обосновывающие данный размер.</w:t>
      </w:r>
    </w:p>
    <w:p w:rsidR="00FC2885" w:rsidRPr="00FC2885" w:rsidRDefault="00FC2885" w:rsidP="00FC2885">
      <w:pPr>
        <w:autoSpaceDE w:val="0"/>
        <w:autoSpaceDN w:val="0"/>
        <w:adjustRightInd w:val="0"/>
        <w:spacing w:line="233" w:lineRule="auto"/>
        <w:ind w:firstLine="567"/>
        <w:jc w:val="both"/>
        <w:outlineLvl w:val="1"/>
      </w:pPr>
      <w:r w:rsidRPr="00FC2885">
        <w:t>Отраженная в Пояснительной записке информация о начале применения решения Совета с 01.07.2025 не соответствует дате вступления его в силу, отраженной в Проекте решения - не ранее 01.08.2025.</w:t>
      </w:r>
    </w:p>
    <w:p w:rsidR="00FC2885" w:rsidRPr="00FC2885" w:rsidRDefault="00FC2885" w:rsidP="00FC2885">
      <w:pPr>
        <w:autoSpaceDE w:val="0"/>
        <w:autoSpaceDN w:val="0"/>
        <w:adjustRightInd w:val="0"/>
        <w:spacing w:line="233" w:lineRule="auto"/>
        <w:ind w:firstLine="567"/>
        <w:jc w:val="both"/>
        <w:outlineLvl w:val="1"/>
      </w:pPr>
      <w:r w:rsidRPr="00FC2885">
        <w:t>По итогам рассмотрения заключения Палаты пояснительная записка и финансово-экономическое обоснование к Проекту решения были откорректированы.</w:t>
      </w:r>
    </w:p>
    <w:p w:rsidR="00FC2885" w:rsidRPr="008702D2" w:rsidRDefault="00FC2885" w:rsidP="00EE2D42">
      <w:pPr>
        <w:autoSpaceDE w:val="0"/>
        <w:autoSpaceDN w:val="0"/>
        <w:adjustRightInd w:val="0"/>
        <w:spacing w:line="233" w:lineRule="auto"/>
        <w:ind w:firstLine="567"/>
        <w:jc w:val="both"/>
        <w:outlineLvl w:val="1"/>
      </w:pPr>
    </w:p>
    <w:sectPr w:rsidR="00FC2885" w:rsidRPr="008702D2" w:rsidSect="00643DAC">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D08"/>
    <w:multiLevelType w:val="hybridMultilevel"/>
    <w:tmpl w:val="7BA00A4E"/>
    <w:lvl w:ilvl="0" w:tplc="2B0A8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0E68D8"/>
    <w:multiLevelType w:val="hybridMultilevel"/>
    <w:tmpl w:val="CB7AC59E"/>
    <w:lvl w:ilvl="0" w:tplc="3348BE0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AD5418D"/>
    <w:multiLevelType w:val="hybridMultilevel"/>
    <w:tmpl w:val="67E42192"/>
    <w:lvl w:ilvl="0" w:tplc="2C16A8D4">
      <w:start w:val="8"/>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nsid w:val="65C04709"/>
    <w:multiLevelType w:val="hybridMultilevel"/>
    <w:tmpl w:val="F1362AFC"/>
    <w:lvl w:ilvl="0" w:tplc="79BA4808">
      <w:start w:val="1"/>
      <w:numFmt w:val="bullet"/>
      <w:lvlText w:val=""/>
      <w:lvlJc w:val="left"/>
      <w:pPr>
        <w:tabs>
          <w:tab w:val="num" w:pos="1498"/>
        </w:tabs>
        <w:ind w:left="1498" w:hanging="360"/>
      </w:pPr>
      <w:rPr>
        <w:rFonts w:ascii="Symbol" w:hAnsi="Symbol"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AA"/>
    <w:rsid w:val="000041B7"/>
    <w:rsid w:val="00023E2C"/>
    <w:rsid w:val="00033ECB"/>
    <w:rsid w:val="00042425"/>
    <w:rsid w:val="00051685"/>
    <w:rsid w:val="00061D15"/>
    <w:rsid w:val="00061D9E"/>
    <w:rsid w:val="0006544A"/>
    <w:rsid w:val="000660DD"/>
    <w:rsid w:val="0007277B"/>
    <w:rsid w:val="000837F5"/>
    <w:rsid w:val="00084233"/>
    <w:rsid w:val="000914EF"/>
    <w:rsid w:val="00095AF9"/>
    <w:rsid w:val="000A0C9A"/>
    <w:rsid w:val="000A55E9"/>
    <w:rsid w:val="000A5CEF"/>
    <w:rsid w:val="000A6C0F"/>
    <w:rsid w:val="000C12CD"/>
    <w:rsid w:val="000C25EB"/>
    <w:rsid w:val="000C3611"/>
    <w:rsid w:val="000D4DA0"/>
    <w:rsid w:val="000D4EB6"/>
    <w:rsid w:val="00102255"/>
    <w:rsid w:val="00114E63"/>
    <w:rsid w:val="0012284C"/>
    <w:rsid w:val="0012445A"/>
    <w:rsid w:val="0013417C"/>
    <w:rsid w:val="001464F7"/>
    <w:rsid w:val="00150AC1"/>
    <w:rsid w:val="00167C10"/>
    <w:rsid w:val="00170825"/>
    <w:rsid w:val="00175CCC"/>
    <w:rsid w:val="00182D8C"/>
    <w:rsid w:val="00186860"/>
    <w:rsid w:val="00190855"/>
    <w:rsid w:val="001B12ED"/>
    <w:rsid w:val="001C56C3"/>
    <w:rsid w:val="001C70EC"/>
    <w:rsid w:val="001E191E"/>
    <w:rsid w:val="001E3E37"/>
    <w:rsid w:val="001E5392"/>
    <w:rsid w:val="0022067A"/>
    <w:rsid w:val="00220985"/>
    <w:rsid w:val="002416CA"/>
    <w:rsid w:val="002548A2"/>
    <w:rsid w:val="00261213"/>
    <w:rsid w:val="002756A4"/>
    <w:rsid w:val="00281BD3"/>
    <w:rsid w:val="00284C5D"/>
    <w:rsid w:val="00293F83"/>
    <w:rsid w:val="002A4CB7"/>
    <w:rsid w:val="002C1A93"/>
    <w:rsid w:val="002C6BB3"/>
    <w:rsid w:val="002D6F4C"/>
    <w:rsid w:val="002E537D"/>
    <w:rsid w:val="002F037A"/>
    <w:rsid w:val="002F0B8F"/>
    <w:rsid w:val="002F24C5"/>
    <w:rsid w:val="002F36D8"/>
    <w:rsid w:val="00301B20"/>
    <w:rsid w:val="00301C2F"/>
    <w:rsid w:val="0030708B"/>
    <w:rsid w:val="0031573D"/>
    <w:rsid w:val="00333573"/>
    <w:rsid w:val="003427AA"/>
    <w:rsid w:val="0034424E"/>
    <w:rsid w:val="0035041A"/>
    <w:rsid w:val="003517CE"/>
    <w:rsid w:val="00355086"/>
    <w:rsid w:val="00366A2B"/>
    <w:rsid w:val="00366E88"/>
    <w:rsid w:val="003A1CC0"/>
    <w:rsid w:val="003A3706"/>
    <w:rsid w:val="003B1324"/>
    <w:rsid w:val="003C2ED2"/>
    <w:rsid w:val="003C3299"/>
    <w:rsid w:val="003D2F6F"/>
    <w:rsid w:val="003D434D"/>
    <w:rsid w:val="0040050B"/>
    <w:rsid w:val="00403654"/>
    <w:rsid w:val="00423562"/>
    <w:rsid w:val="00427B8D"/>
    <w:rsid w:val="004311AE"/>
    <w:rsid w:val="00440E16"/>
    <w:rsid w:val="004415E0"/>
    <w:rsid w:val="00442A0F"/>
    <w:rsid w:val="00443ECC"/>
    <w:rsid w:val="00463941"/>
    <w:rsid w:val="004801CC"/>
    <w:rsid w:val="00484592"/>
    <w:rsid w:val="00490AC7"/>
    <w:rsid w:val="004B126C"/>
    <w:rsid w:val="004B78A7"/>
    <w:rsid w:val="004C1EC4"/>
    <w:rsid w:val="004D3D01"/>
    <w:rsid w:val="004E7920"/>
    <w:rsid w:val="005006E8"/>
    <w:rsid w:val="00504F5A"/>
    <w:rsid w:val="005058EB"/>
    <w:rsid w:val="005115E1"/>
    <w:rsid w:val="00536F13"/>
    <w:rsid w:val="00547C2E"/>
    <w:rsid w:val="0055454F"/>
    <w:rsid w:val="00555D47"/>
    <w:rsid w:val="005620C2"/>
    <w:rsid w:val="00562239"/>
    <w:rsid w:val="00565FD1"/>
    <w:rsid w:val="00566FBE"/>
    <w:rsid w:val="00584371"/>
    <w:rsid w:val="0059131A"/>
    <w:rsid w:val="00592EE1"/>
    <w:rsid w:val="005B7019"/>
    <w:rsid w:val="005D0DF5"/>
    <w:rsid w:val="005E2A91"/>
    <w:rsid w:val="005E3B15"/>
    <w:rsid w:val="005E506B"/>
    <w:rsid w:val="005F27BF"/>
    <w:rsid w:val="005F3FE0"/>
    <w:rsid w:val="005F667D"/>
    <w:rsid w:val="00602439"/>
    <w:rsid w:val="00603661"/>
    <w:rsid w:val="00607562"/>
    <w:rsid w:val="00614758"/>
    <w:rsid w:val="0062291E"/>
    <w:rsid w:val="006244BD"/>
    <w:rsid w:val="0063514B"/>
    <w:rsid w:val="006369DE"/>
    <w:rsid w:val="00640F55"/>
    <w:rsid w:val="00643106"/>
    <w:rsid w:val="00643DAC"/>
    <w:rsid w:val="00652010"/>
    <w:rsid w:val="006521C0"/>
    <w:rsid w:val="00655305"/>
    <w:rsid w:val="00657A24"/>
    <w:rsid w:val="00661774"/>
    <w:rsid w:val="00663F91"/>
    <w:rsid w:val="006672BD"/>
    <w:rsid w:val="00677508"/>
    <w:rsid w:val="00677F10"/>
    <w:rsid w:val="00680C2F"/>
    <w:rsid w:val="00684A26"/>
    <w:rsid w:val="00692016"/>
    <w:rsid w:val="00695ACC"/>
    <w:rsid w:val="00695F27"/>
    <w:rsid w:val="006A1734"/>
    <w:rsid w:val="006C048E"/>
    <w:rsid w:val="006C4459"/>
    <w:rsid w:val="006C614D"/>
    <w:rsid w:val="006D7694"/>
    <w:rsid w:val="006F5F05"/>
    <w:rsid w:val="006F7FE4"/>
    <w:rsid w:val="00700A32"/>
    <w:rsid w:val="00700DFA"/>
    <w:rsid w:val="00705F53"/>
    <w:rsid w:val="007105D4"/>
    <w:rsid w:val="00723238"/>
    <w:rsid w:val="007316F7"/>
    <w:rsid w:val="00733299"/>
    <w:rsid w:val="007449BC"/>
    <w:rsid w:val="00756385"/>
    <w:rsid w:val="007818F0"/>
    <w:rsid w:val="00797162"/>
    <w:rsid w:val="007A0EE1"/>
    <w:rsid w:val="007A4D8B"/>
    <w:rsid w:val="007C2023"/>
    <w:rsid w:val="007C397E"/>
    <w:rsid w:val="007D14DD"/>
    <w:rsid w:val="007E65B6"/>
    <w:rsid w:val="007F631D"/>
    <w:rsid w:val="00803DFC"/>
    <w:rsid w:val="00806B56"/>
    <w:rsid w:val="00813E84"/>
    <w:rsid w:val="00817181"/>
    <w:rsid w:val="00822D5D"/>
    <w:rsid w:val="00823F67"/>
    <w:rsid w:val="0082512A"/>
    <w:rsid w:val="00832728"/>
    <w:rsid w:val="00841577"/>
    <w:rsid w:val="008512BD"/>
    <w:rsid w:val="008550A0"/>
    <w:rsid w:val="00857669"/>
    <w:rsid w:val="00860C13"/>
    <w:rsid w:val="008702D2"/>
    <w:rsid w:val="008737E2"/>
    <w:rsid w:val="008821F4"/>
    <w:rsid w:val="00894A96"/>
    <w:rsid w:val="008A0C17"/>
    <w:rsid w:val="008A3FA8"/>
    <w:rsid w:val="008B0D83"/>
    <w:rsid w:val="008B1930"/>
    <w:rsid w:val="008B322D"/>
    <w:rsid w:val="008C1903"/>
    <w:rsid w:val="008C3B19"/>
    <w:rsid w:val="008D0B8A"/>
    <w:rsid w:val="008E3FB1"/>
    <w:rsid w:val="009012FF"/>
    <w:rsid w:val="00913B98"/>
    <w:rsid w:val="00914060"/>
    <w:rsid w:val="00916F41"/>
    <w:rsid w:val="009314E8"/>
    <w:rsid w:val="00931BBA"/>
    <w:rsid w:val="00932B4B"/>
    <w:rsid w:val="009357BC"/>
    <w:rsid w:val="00936241"/>
    <w:rsid w:val="009426A4"/>
    <w:rsid w:val="009503E2"/>
    <w:rsid w:val="009677B8"/>
    <w:rsid w:val="00970809"/>
    <w:rsid w:val="00974513"/>
    <w:rsid w:val="009774C2"/>
    <w:rsid w:val="00991C50"/>
    <w:rsid w:val="00992C21"/>
    <w:rsid w:val="009A254D"/>
    <w:rsid w:val="009B345E"/>
    <w:rsid w:val="009B4166"/>
    <w:rsid w:val="009C06CA"/>
    <w:rsid w:val="009C0FC5"/>
    <w:rsid w:val="009D00DA"/>
    <w:rsid w:val="009D0A6E"/>
    <w:rsid w:val="009D7B23"/>
    <w:rsid w:val="009E34AF"/>
    <w:rsid w:val="009E79A4"/>
    <w:rsid w:val="009F1DB7"/>
    <w:rsid w:val="009F1E8B"/>
    <w:rsid w:val="009F26F9"/>
    <w:rsid w:val="009F698D"/>
    <w:rsid w:val="00A42F58"/>
    <w:rsid w:val="00A456BB"/>
    <w:rsid w:val="00A46D96"/>
    <w:rsid w:val="00A507C7"/>
    <w:rsid w:val="00A60EFB"/>
    <w:rsid w:val="00A677AA"/>
    <w:rsid w:val="00A76D1C"/>
    <w:rsid w:val="00A77C7F"/>
    <w:rsid w:val="00A85E53"/>
    <w:rsid w:val="00A90408"/>
    <w:rsid w:val="00AA1816"/>
    <w:rsid w:val="00AA39CD"/>
    <w:rsid w:val="00AA5AF1"/>
    <w:rsid w:val="00AB5F3F"/>
    <w:rsid w:val="00AC0427"/>
    <w:rsid w:val="00AC1A68"/>
    <w:rsid w:val="00AD184A"/>
    <w:rsid w:val="00AD2057"/>
    <w:rsid w:val="00AE1DFA"/>
    <w:rsid w:val="00AE2A80"/>
    <w:rsid w:val="00AE54FD"/>
    <w:rsid w:val="00AF1581"/>
    <w:rsid w:val="00AF76AB"/>
    <w:rsid w:val="00B03628"/>
    <w:rsid w:val="00B11B41"/>
    <w:rsid w:val="00B15035"/>
    <w:rsid w:val="00B22605"/>
    <w:rsid w:val="00B231DE"/>
    <w:rsid w:val="00B24FF2"/>
    <w:rsid w:val="00B30907"/>
    <w:rsid w:val="00B4685F"/>
    <w:rsid w:val="00B56774"/>
    <w:rsid w:val="00B62A8C"/>
    <w:rsid w:val="00B64FAC"/>
    <w:rsid w:val="00B6602D"/>
    <w:rsid w:val="00B8551D"/>
    <w:rsid w:val="00B90A8D"/>
    <w:rsid w:val="00B93F4D"/>
    <w:rsid w:val="00BA27A5"/>
    <w:rsid w:val="00BB7071"/>
    <w:rsid w:val="00BC1472"/>
    <w:rsid w:val="00BC533F"/>
    <w:rsid w:val="00BC661F"/>
    <w:rsid w:val="00BD02E2"/>
    <w:rsid w:val="00BE571E"/>
    <w:rsid w:val="00C0542C"/>
    <w:rsid w:val="00C05C96"/>
    <w:rsid w:val="00C15730"/>
    <w:rsid w:val="00C16B11"/>
    <w:rsid w:val="00C174DE"/>
    <w:rsid w:val="00C305CE"/>
    <w:rsid w:val="00C321D9"/>
    <w:rsid w:val="00C33051"/>
    <w:rsid w:val="00C404D0"/>
    <w:rsid w:val="00C451CF"/>
    <w:rsid w:val="00C46850"/>
    <w:rsid w:val="00C477C5"/>
    <w:rsid w:val="00C50A7B"/>
    <w:rsid w:val="00C52BD9"/>
    <w:rsid w:val="00C537EB"/>
    <w:rsid w:val="00C556D9"/>
    <w:rsid w:val="00C64C1C"/>
    <w:rsid w:val="00C77A05"/>
    <w:rsid w:val="00C8272F"/>
    <w:rsid w:val="00CA1DEF"/>
    <w:rsid w:val="00CA403F"/>
    <w:rsid w:val="00CA5C1D"/>
    <w:rsid w:val="00CB6505"/>
    <w:rsid w:val="00CD4C72"/>
    <w:rsid w:val="00CD7A69"/>
    <w:rsid w:val="00CF381A"/>
    <w:rsid w:val="00D03CA0"/>
    <w:rsid w:val="00D070B1"/>
    <w:rsid w:val="00D2574B"/>
    <w:rsid w:val="00D308F5"/>
    <w:rsid w:val="00D30E66"/>
    <w:rsid w:val="00D31C0E"/>
    <w:rsid w:val="00D46D53"/>
    <w:rsid w:val="00D550F5"/>
    <w:rsid w:val="00D55FB0"/>
    <w:rsid w:val="00D65360"/>
    <w:rsid w:val="00D67B4E"/>
    <w:rsid w:val="00D67C6B"/>
    <w:rsid w:val="00D703F7"/>
    <w:rsid w:val="00D75EF8"/>
    <w:rsid w:val="00D77046"/>
    <w:rsid w:val="00D914D2"/>
    <w:rsid w:val="00D9348E"/>
    <w:rsid w:val="00D966E0"/>
    <w:rsid w:val="00DA62FC"/>
    <w:rsid w:val="00DA6FAA"/>
    <w:rsid w:val="00DA79D3"/>
    <w:rsid w:val="00DB0009"/>
    <w:rsid w:val="00DC37FE"/>
    <w:rsid w:val="00DC467E"/>
    <w:rsid w:val="00DC477E"/>
    <w:rsid w:val="00DD38A2"/>
    <w:rsid w:val="00DD5DF4"/>
    <w:rsid w:val="00DD61EA"/>
    <w:rsid w:val="00DD6473"/>
    <w:rsid w:val="00DE2B7B"/>
    <w:rsid w:val="00DE3D37"/>
    <w:rsid w:val="00DF4E2B"/>
    <w:rsid w:val="00E0063D"/>
    <w:rsid w:val="00E10246"/>
    <w:rsid w:val="00E20939"/>
    <w:rsid w:val="00E24310"/>
    <w:rsid w:val="00E27D7B"/>
    <w:rsid w:val="00E461AA"/>
    <w:rsid w:val="00E62111"/>
    <w:rsid w:val="00E75D0F"/>
    <w:rsid w:val="00E772FC"/>
    <w:rsid w:val="00E7747E"/>
    <w:rsid w:val="00E80790"/>
    <w:rsid w:val="00E865BD"/>
    <w:rsid w:val="00E90296"/>
    <w:rsid w:val="00EA44FC"/>
    <w:rsid w:val="00EB0EE8"/>
    <w:rsid w:val="00EB160A"/>
    <w:rsid w:val="00EB339A"/>
    <w:rsid w:val="00EC1C6C"/>
    <w:rsid w:val="00EE2D42"/>
    <w:rsid w:val="00EE5461"/>
    <w:rsid w:val="00F071BD"/>
    <w:rsid w:val="00F15343"/>
    <w:rsid w:val="00F1657F"/>
    <w:rsid w:val="00F16D4C"/>
    <w:rsid w:val="00F173CC"/>
    <w:rsid w:val="00F212FA"/>
    <w:rsid w:val="00F3282E"/>
    <w:rsid w:val="00F32C2B"/>
    <w:rsid w:val="00F33CF1"/>
    <w:rsid w:val="00F35260"/>
    <w:rsid w:val="00F4076B"/>
    <w:rsid w:val="00F5373F"/>
    <w:rsid w:val="00F55249"/>
    <w:rsid w:val="00F63EEE"/>
    <w:rsid w:val="00F646E2"/>
    <w:rsid w:val="00F64A32"/>
    <w:rsid w:val="00F654E8"/>
    <w:rsid w:val="00F727F3"/>
    <w:rsid w:val="00F738C6"/>
    <w:rsid w:val="00F80FC2"/>
    <w:rsid w:val="00F83E2B"/>
    <w:rsid w:val="00F86923"/>
    <w:rsid w:val="00F9457E"/>
    <w:rsid w:val="00FA1264"/>
    <w:rsid w:val="00FA2D4A"/>
    <w:rsid w:val="00FA4660"/>
    <w:rsid w:val="00FA4D34"/>
    <w:rsid w:val="00FB1CF2"/>
    <w:rsid w:val="00FC2885"/>
    <w:rsid w:val="00FC3F7A"/>
    <w:rsid w:val="00FD005C"/>
    <w:rsid w:val="00FD1254"/>
    <w:rsid w:val="00FD310D"/>
    <w:rsid w:val="00FD617F"/>
    <w:rsid w:val="00FF1E02"/>
    <w:rsid w:val="00FF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1AA"/>
    <w:rPr>
      <w:sz w:val="24"/>
      <w:szCs w:val="24"/>
    </w:rPr>
  </w:style>
  <w:style w:type="paragraph" w:styleId="2">
    <w:name w:val="heading 2"/>
    <w:basedOn w:val="a"/>
    <w:next w:val="a"/>
    <w:link w:val="20"/>
    <w:qFormat/>
    <w:rsid w:val="00655305"/>
    <w:pPr>
      <w:keepNext/>
      <w:keepLines/>
      <w:spacing w:line="320" w:lineRule="exact"/>
      <w:jc w:val="center"/>
      <w:outlineLvl w:val="1"/>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E10246"/>
    <w:pPr>
      <w:autoSpaceDE w:val="0"/>
      <w:autoSpaceDN w:val="0"/>
      <w:spacing w:after="160" w:line="240" w:lineRule="exact"/>
    </w:pPr>
    <w:rPr>
      <w:rFonts w:ascii="Arial" w:hAnsi="Arial" w:cs="Arial"/>
      <w:b/>
      <w:bCs/>
      <w:sz w:val="20"/>
      <w:szCs w:val="20"/>
      <w:lang w:val="en-US" w:eastAsia="de-DE"/>
    </w:rPr>
  </w:style>
  <w:style w:type="paragraph" w:styleId="a3">
    <w:name w:val="header"/>
    <w:basedOn w:val="a"/>
    <w:link w:val="a4"/>
    <w:rsid w:val="004B78A7"/>
    <w:pPr>
      <w:tabs>
        <w:tab w:val="center" w:pos="4677"/>
        <w:tab w:val="right" w:pos="9355"/>
      </w:tabs>
    </w:pPr>
    <w:rPr>
      <w:sz w:val="20"/>
      <w:szCs w:val="20"/>
    </w:rPr>
  </w:style>
  <w:style w:type="character" w:customStyle="1" w:styleId="a4">
    <w:name w:val="Верхний колонтитул Знак"/>
    <w:link w:val="a3"/>
    <w:locked/>
    <w:rsid w:val="004B78A7"/>
    <w:rPr>
      <w:lang w:val="ru-RU" w:eastAsia="ru-RU" w:bidi="ar-SA"/>
    </w:rPr>
  </w:style>
  <w:style w:type="table" w:styleId="a5">
    <w:name w:val="Table Grid"/>
    <w:basedOn w:val="a1"/>
    <w:rsid w:val="00C6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55305"/>
    <w:rPr>
      <w:b/>
      <w:bCs/>
      <w:sz w:val="28"/>
    </w:rPr>
  </w:style>
  <w:style w:type="paragraph" w:customStyle="1" w:styleId="21">
    <w:name w:val="Знак Знак2"/>
    <w:basedOn w:val="a"/>
    <w:rsid w:val="008A0C17"/>
    <w:pPr>
      <w:autoSpaceDE w:val="0"/>
      <w:autoSpaceDN w:val="0"/>
      <w:spacing w:after="160" w:line="240" w:lineRule="exact"/>
    </w:pPr>
    <w:rPr>
      <w:rFonts w:ascii="Arial" w:hAnsi="Arial" w:cs="Arial"/>
      <w:b/>
      <w:bCs/>
      <w:sz w:val="20"/>
      <w:szCs w:val="20"/>
      <w:lang w:val="en-US" w:eastAsia="de-DE"/>
    </w:rPr>
  </w:style>
  <w:style w:type="paragraph" w:customStyle="1" w:styleId="22">
    <w:name w:val="Знак Знак2"/>
    <w:basedOn w:val="a"/>
    <w:rsid w:val="001C70EC"/>
    <w:pPr>
      <w:autoSpaceDE w:val="0"/>
      <w:autoSpaceDN w:val="0"/>
      <w:spacing w:after="160" w:line="240" w:lineRule="exact"/>
    </w:pPr>
    <w:rPr>
      <w:rFonts w:ascii="Arial" w:hAnsi="Arial" w:cs="Arial"/>
      <w:b/>
      <w:bCs/>
      <w:sz w:val="20"/>
      <w:szCs w:val="20"/>
      <w:lang w:val="en-US" w:eastAsia="de-DE"/>
    </w:rPr>
  </w:style>
  <w:style w:type="paragraph" w:styleId="a6">
    <w:name w:val="List Paragraph"/>
    <w:basedOn w:val="a"/>
    <w:uiPriority w:val="34"/>
    <w:qFormat/>
    <w:rsid w:val="009F1DB7"/>
    <w:pPr>
      <w:ind w:left="720"/>
      <w:contextualSpacing/>
    </w:pPr>
  </w:style>
  <w:style w:type="paragraph" w:customStyle="1" w:styleId="23">
    <w:name w:val="Знак Знак2"/>
    <w:basedOn w:val="a"/>
    <w:rsid w:val="0059131A"/>
    <w:pPr>
      <w:autoSpaceDE w:val="0"/>
      <w:autoSpaceDN w:val="0"/>
      <w:spacing w:after="160" w:line="240" w:lineRule="exact"/>
    </w:pPr>
    <w:rPr>
      <w:rFonts w:ascii="Arial" w:hAnsi="Arial" w:cs="Arial"/>
      <w:b/>
      <w:bCs/>
      <w:sz w:val="20"/>
      <w:szCs w:val="20"/>
      <w:lang w:val="en-US" w:eastAsia="de-DE"/>
    </w:rPr>
  </w:style>
  <w:style w:type="paragraph" w:customStyle="1" w:styleId="24">
    <w:name w:val="Знак Знак2"/>
    <w:basedOn w:val="a"/>
    <w:rsid w:val="00F33CF1"/>
    <w:pPr>
      <w:autoSpaceDE w:val="0"/>
      <w:autoSpaceDN w:val="0"/>
      <w:spacing w:after="160" w:line="240" w:lineRule="exact"/>
    </w:pPr>
    <w:rPr>
      <w:rFonts w:ascii="Arial" w:hAnsi="Arial" w:cs="Arial"/>
      <w:b/>
      <w:bCs/>
      <w:sz w:val="20"/>
      <w:szCs w:val="20"/>
      <w:lang w:val="en-US" w:eastAsia="de-DE"/>
    </w:rPr>
  </w:style>
  <w:style w:type="paragraph" w:customStyle="1" w:styleId="25">
    <w:name w:val="Знак Знак2"/>
    <w:basedOn w:val="a"/>
    <w:rsid w:val="007818F0"/>
    <w:pPr>
      <w:autoSpaceDE w:val="0"/>
      <w:autoSpaceDN w:val="0"/>
      <w:spacing w:after="160" w:line="240" w:lineRule="exact"/>
    </w:pPr>
    <w:rPr>
      <w:rFonts w:ascii="Arial" w:hAnsi="Arial" w:cs="Arial"/>
      <w:b/>
      <w:bCs/>
      <w:sz w:val="20"/>
      <w:szCs w:val="20"/>
      <w:lang w:val="en-US" w:eastAsia="de-DE"/>
    </w:rPr>
  </w:style>
  <w:style w:type="paragraph" w:customStyle="1" w:styleId="26">
    <w:name w:val="Знак Знак2"/>
    <w:basedOn w:val="a"/>
    <w:rsid w:val="00EB0EE8"/>
    <w:pPr>
      <w:autoSpaceDE w:val="0"/>
      <w:autoSpaceDN w:val="0"/>
      <w:spacing w:after="160" w:line="240" w:lineRule="exact"/>
    </w:pPr>
    <w:rPr>
      <w:rFonts w:ascii="Arial" w:hAnsi="Arial" w:cs="Arial"/>
      <w:b/>
      <w:bCs/>
      <w:sz w:val="20"/>
      <w:szCs w:val="20"/>
      <w:lang w:val="en-US" w:eastAsia="de-DE"/>
    </w:rPr>
  </w:style>
  <w:style w:type="paragraph" w:customStyle="1" w:styleId="HeadDoc">
    <w:name w:val="HeadDoc"/>
    <w:rsid w:val="00EB0EE8"/>
    <w:pPr>
      <w:keepLines/>
      <w:jc w:val="both"/>
    </w:pPr>
    <w:rPr>
      <w:sz w:val="28"/>
    </w:rPr>
  </w:style>
  <w:style w:type="paragraph" w:styleId="a7">
    <w:name w:val="Balloon Text"/>
    <w:basedOn w:val="a"/>
    <w:link w:val="a8"/>
    <w:rsid w:val="00EB0EE8"/>
    <w:rPr>
      <w:rFonts w:ascii="Tahoma" w:hAnsi="Tahoma" w:cs="Tahoma"/>
      <w:sz w:val="16"/>
      <w:szCs w:val="16"/>
    </w:rPr>
  </w:style>
  <w:style w:type="character" w:customStyle="1" w:styleId="a8">
    <w:name w:val="Текст выноски Знак"/>
    <w:basedOn w:val="a0"/>
    <w:link w:val="a7"/>
    <w:rsid w:val="00EB0EE8"/>
    <w:rPr>
      <w:rFonts w:ascii="Tahoma" w:hAnsi="Tahoma" w:cs="Tahoma"/>
      <w:sz w:val="16"/>
      <w:szCs w:val="16"/>
    </w:rPr>
  </w:style>
  <w:style w:type="paragraph" w:customStyle="1" w:styleId="27">
    <w:name w:val="Знак Знак2"/>
    <w:basedOn w:val="a"/>
    <w:rsid w:val="00F83E2B"/>
    <w:pPr>
      <w:autoSpaceDE w:val="0"/>
      <w:autoSpaceDN w:val="0"/>
      <w:spacing w:after="160" w:line="240" w:lineRule="exact"/>
    </w:pPr>
    <w:rPr>
      <w:rFonts w:ascii="Arial" w:hAnsi="Arial" w:cs="Arial"/>
      <w:b/>
      <w:bCs/>
      <w:sz w:val="20"/>
      <w:szCs w:val="20"/>
      <w:lang w:val="en-US" w:eastAsia="de-DE"/>
    </w:rPr>
  </w:style>
  <w:style w:type="paragraph" w:customStyle="1" w:styleId="28">
    <w:name w:val="Знак Знак2"/>
    <w:basedOn w:val="a"/>
    <w:rsid w:val="00B93F4D"/>
    <w:pPr>
      <w:autoSpaceDE w:val="0"/>
      <w:autoSpaceDN w:val="0"/>
      <w:spacing w:after="160" w:line="240" w:lineRule="exact"/>
    </w:pPr>
    <w:rPr>
      <w:rFonts w:ascii="Arial" w:hAnsi="Arial" w:cs="Arial"/>
      <w:b/>
      <w:bCs/>
      <w:sz w:val="20"/>
      <w:szCs w:val="20"/>
      <w:lang w:val="en-US" w:eastAsia="de-DE"/>
    </w:rPr>
  </w:style>
  <w:style w:type="paragraph" w:customStyle="1" w:styleId="29">
    <w:name w:val="Знак Знак2"/>
    <w:basedOn w:val="a"/>
    <w:rsid w:val="000C25EB"/>
    <w:pPr>
      <w:autoSpaceDE w:val="0"/>
      <w:autoSpaceDN w:val="0"/>
      <w:spacing w:after="160" w:line="240" w:lineRule="exact"/>
    </w:pPr>
    <w:rPr>
      <w:rFonts w:ascii="Arial" w:hAnsi="Arial" w:cs="Arial"/>
      <w:b/>
      <w:bCs/>
      <w:sz w:val="20"/>
      <w:szCs w:val="20"/>
      <w:lang w:val="en-US" w:eastAsia="de-DE"/>
    </w:rPr>
  </w:style>
  <w:style w:type="paragraph" w:customStyle="1" w:styleId="2a">
    <w:name w:val="Знак Знак2"/>
    <w:basedOn w:val="a"/>
    <w:rsid w:val="007105D4"/>
    <w:pPr>
      <w:autoSpaceDE w:val="0"/>
      <w:autoSpaceDN w:val="0"/>
      <w:spacing w:after="160" w:line="240" w:lineRule="exact"/>
    </w:pPr>
    <w:rPr>
      <w:rFonts w:ascii="Arial" w:hAnsi="Arial" w:cs="Arial"/>
      <w:b/>
      <w:bCs/>
      <w:sz w:val="20"/>
      <w:szCs w:val="20"/>
      <w:lang w:val="en-US" w:eastAsia="de-DE"/>
    </w:rPr>
  </w:style>
  <w:style w:type="paragraph" w:customStyle="1" w:styleId="2b">
    <w:name w:val="Знак Знак2"/>
    <w:basedOn w:val="a"/>
    <w:rsid w:val="001C56C3"/>
    <w:pPr>
      <w:autoSpaceDE w:val="0"/>
      <w:autoSpaceDN w:val="0"/>
      <w:spacing w:after="160" w:line="240" w:lineRule="exact"/>
    </w:pPr>
    <w:rPr>
      <w:rFonts w:ascii="Arial" w:hAnsi="Arial" w:cs="Arial"/>
      <w:b/>
      <w:bCs/>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1AA"/>
    <w:rPr>
      <w:sz w:val="24"/>
      <w:szCs w:val="24"/>
    </w:rPr>
  </w:style>
  <w:style w:type="paragraph" w:styleId="2">
    <w:name w:val="heading 2"/>
    <w:basedOn w:val="a"/>
    <w:next w:val="a"/>
    <w:link w:val="20"/>
    <w:qFormat/>
    <w:rsid w:val="00655305"/>
    <w:pPr>
      <w:keepNext/>
      <w:keepLines/>
      <w:spacing w:line="320" w:lineRule="exact"/>
      <w:jc w:val="center"/>
      <w:outlineLvl w:val="1"/>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E10246"/>
    <w:pPr>
      <w:autoSpaceDE w:val="0"/>
      <w:autoSpaceDN w:val="0"/>
      <w:spacing w:after="160" w:line="240" w:lineRule="exact"/>
    </w:pPr>
    <w:rPr>
      <w:rFonts w:ascii="Arial" w:hAnsi="Arial" w:cs="Arial"/>
      <w:b/>
      <w:bCs/>
      <w:sz w:val="20"/>
      <w:szCs w:val="20"/>
      <w:lang w:val="en-US" w:eastAsia="de-DE"/>
    </w:rPr>
  </w:style>
  <w:style w:type="paragraph" w:styleId="a3">
    <w:name w:val="header"/>
    <w:basedOn w:val="a"/>
    <w:link w:val="a4"/>
    <w:rsid w:val="004B78A7"/>
    <w:pPr>
      <w:tabs>
        <w:tab w:val="center" w:pos="4677"/>
        <w:tab w:val="right" w:pos="9355"/>
      </w:tabs>
    </w:pPr>
    <w:rPr>
      <w:sz w:val="20"/>
      <w:szCs w:val="20"/>
    </w:rPr>
  </w:style>
  <w:style w:type="character" w:customStyle="1" w:styleId="a4">
    <w:name w:val="Верхний колонтитул Знак"/>
    <w:link w:val="a3"/>
    <w:locked/>
    <w:rsid w:val="004B78A7"/>
    <w:rPr>
      <w:lang w:val="ru-RU" w:eastAsia="ru-RU" w:bidi="ar-SA"/>
    </w:rPr>
  </w:style>
  <w:style w:type="table" w:styleId="a5">
    <w:name w:val="Table Grid"/>
    <w:basedOn w:val="a1"/>
    <w:rsid w:val="00C64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55305"/>
    <w:rPr>
      <w:b/>
      <w:bCs/>
      <w:sz w:val="28"/>
    </w:rPr>
  </w:style>
  <w:style w:type="paragraph" w:customStyle="1" w:styleId="21">
    <w:name w:val="Знак Знак2"/>
    <w:basedOn w:val="a"/>
    <w:rsid w:val="008A0C17"/>
    <w:pPr>
      <w:autoSpaceDE w:val="0"/>
      <w:autoSpaceDN w:val="0"/>
      <w:spacing w:after="160" w:line="240" w:lineRule="exact"/>
    </w:pPr>
    <w:rPr>
      <w:rFonts w:ascii="Arial" w:hAnsi="Arial" w:cs="Arial"/>
      <w:b/>
      <w:bCs/>
      <w:sz w:val="20"/>
      <w:szCs w:val="20"/>
      <w:lang w:val="en-US" w:eastAsia="de-DE"/>
    </w:rPr>
  </w:style>
  <w:style w:type="paragraph" w:customStyle="1" w:styleId="22">
    <w:name w:val="Знак Знак2"/>
    <w:basedOn w:val="a"/>
    <w:rsid w:val="001C70EC"/>
    <w:pPr>
      <w:autoSpaceDE w:val="0"/>
      <w:autoSpaceDN w:val="0"/>
      <w:spacing w:after="160" w:line="240" w:lineRule="exact"/>
    </w:pPr>
    <w:rPr>
      <w:rFonts w:ascii="Arial" w:hAnsi="Arial" w:cs="Arial"/>
      <w:b/>
      <w:bCs/>
      <w:sz w:val="20"/>
      <w:szCs w:val="20"/>
      <w:lang w:val="en-US" w:eastAsia="de-DE"/>
    </w:rPr>
  </w:style>
  <w:style w:type="paragraph" w:styleId="a6">
    <w:name w:val="List Paragraph"/>
    <w:basedOn w:val="a"/>
    <w:uiPriority w:val="34"/>
    <w:qFormat/>
    <w:rsid w:val="009F1DB7"/>
    <w:pPr>
      <w:ind w:left="720"/>
      <w:contextualSpacing/>
    </w:pPr>
  </w:style>
  <w:style w:type="paragraph" w:customStyle="1" w:styleId="23">
    <w:name w:val="Знак Знак2"/>
    <w:basedOn w:val="a"/>
    <w:rsid w:val="0059131A"/>
    <w:pPr>
      <w:autoSpaceDE w:val="0"/>
      <w:autoSpaceDN w:val="0"/>
      <w:spacing w:after="160" w:line="240" w:lineRule="exact"/>
    </w:pPr>
    <w:rPr>
      <w:rFonts w:ascii="Arial" w:hAnsi="Arial" w:cs="Arial"/>
      <w:b/>
      <w:bCs/>
      <w:sz w:val="20"/>
      <w:szCs w:val="20"/>
      <w:lang w:val="en-US" w:eastAsia="de-DE"/>
    </w:rPr>
  </w:style>
  <w:style w:type="paragraph" w:customStyle="1" w:styleId="24">
    <w:name w:val="Знак Знак2"/>
    <w:basedOn w:val="a"/>
    <w:rsid w:val="00F33CF1"/>
    <w:pPr>
      <w:autoSpaceDE w:val="0"/>
      <w:autoSpaceDN w:val="0"/>
      <w:spacing w:after="160" w:line="240" w:lineRule="exact"/>
    </w:pPr>
    <w:rPr>
      <w:rFonts w:ascii="Arial" w:hAnsi="Arial" w:cs="Arial"/>
      <w:b/>
      <w:bCs/>
      <w:sz w:val="20"/>
      <w:szCs w:val="20"/>
      <w:lang w:val="en-US" w:eastAsia="de-DE"/>
    </w:rPr>
  </w:style>
  <w:style w:type="paragraph" w:customStyle="1" w:styleId="25">
    <w:name w:val="Знак Знак2"/>
    <w:basedOn w:val="a"/>
    <w:rsid w:val="007818F0"/>
    <w:pPr>
      <w:autoSpaceDE w:val="0"/>
      <w:autoSpaceDN w:val="0"/>
      <w:spacing w:after="160" w:line="240" w:lineRule="exact"/>
    </w:pPr>
    <w:rPr>
      <w:rFonts w:ascii="Arial" w:hAnsi="Arial" w:cs="Arial"/>
      <w:b/>
      <w:bCs/>
      <w:sz w:val="20"/>
      <w:szCs w:val="20"/>
      <w:lang w:val="en-US" w:eastAsia="de-DE"/>
    </w:rPr>
  </w:style>
  <w:style w:type="paragraph" w:customStyle="1" w:styleId="26">
    <w:name w:val="Знак Знак2"/>
    <w:basedOn w:val="a"/>
    <w:rsid w:val="00EB0EE8"/>
    <w:pPr>
      <w:autoSpaceDE w:val="0"/>
      <w:autoSpaceDN w:val="0"/>
      <w:spacing w:after="160" w:line="240" w:lineRule="exact"/>
    </w:pPr>
    <w:rPr>
      <w:rFonts w:ascii="Arial" w:hAnsi="Arial" w:cs="Arial"/>
      <w:b/>
      <w:bCs/>
      <w:sz w:val="20"/>
      <w:szCs w:val="20"/>
      <w:lang w:val="en-US" w:eastAsia="de-DE"/>
    </w:rPr>
  </w:style>
  <w:style w:type="paragraph" w:customStyle="1" w:styleId="HeadDoc">
    <w:name w:val="HeadDoc"/>
    <w:rsid w:val="00EB0EE8"/>
    <w:pPr>
      <w:keepLines/>
      <w:jc w:val="both"/>
    </w:pPr>
    <w:rPr>
      <w:sz w:val="28"/>
    </w:rPr>
  </w:style>
  <w:style w:type="paragraph" w:styleId="a7">
    <w:name w:val="Balloon Text"/>
    <w:basedOn w:val="a"/>
    <w:link w:val="a8"/>
    <w:rsid w:val="00EB0EE8"/>
    <w:rPr>
      <w:rFonts w:ascii="Tahoma" w:hAnsi="Tahoma" w:cs="Tahoma"/>
      <w:sz w:val="16"/>
      <w:szCs w:val="16"/>
    </w:rPr>
  </w:style>
  <w:style w:type="character" w:customStyle="1" w:styleId="a8">
    <w:name w:val="Текст выноски Знак"/>
    <w:basedOn w:val="a0"/>
    <w:link w:val="a7"/>
    <w:rsid w:val="00EB0EE8"/>
    <w:rPr>
      <w:rFonts w:ascii="Tahoma" w:hAnsi="Tahoma" w:cs="Tahoma"/>
      <w:sz w:val="16"/>
      <w:szCs w:val="16"/>
    </w:rPr>
  </w:style>
  <w:style w:type="paragraph" w:customStyle="1" w:styleId="27">
    <w:name w:val="Знак Знак2"/>
    <w:basedOn w:val="a"/>
    <w:rsid w:val="00F83E2B"/>
    <w:pPr>
      <w:autoSpaceDE w:val="0"/>
      <w:autoSpaceDN w:val="0"/>
      <w:spacing w:after="160" w:line="240" w:lineRule="exact"/>
    </w:pPr>
    <w:rPr>
      <w:rFonts w:ascii="Arial" w:hAnsi="Arial" w:cs="Arial"/>
      <w:b/>
      <w:bCs/>
      <w:sz w:val="20"/>
      <w:szCs w:val="20"/>
      <w:lang w:val="en-US" w:eastAsia="de-DE"/>
    </w:rPr>
  </w:style>
  <w:style w:type="paragraph" w:customStyle="1" w:styleId="28">
    <w:name w:val="Знак Знак2"/>
    <w:basedOn w:val="a"/>
    <w:rsid w:val="00B93F4D"/>
    <w:pPr>
      <w:autoSpaceDE w:val="0"/>
      <w:autoSpaceDN w:val="0"/>
      <w:spacing w:after="160" w:line="240" w:lineRule="exact"/>
    </w:pPr>
    <w:rPr>
      <w:rFonts w:ascii="Arial" w:hAnsi="Arial" w:cs="Arial"/>
      <w:b/>
      <w:bCs/>
      <w:sz w:val="20"/>
      <w:szCs w:val="20"/>
      <w:lang w:val="en-US" w:eastAsia="de-DE"/>
    </w:rPr>
  </w:style>
  <w:style w:type="paragraph" w:customStyle="1" w:styleId="29">
    <w:name w:val="Знак Знак2"/>
    <w:basedOn w:val="a"/>
    <w:rsid w:val="000C25EB"/>
    <w:pPr>
      <w:autoSpaceDE w:val="0"/>
      <w:autoSpaceDN w:val="0"/>
      <w:spacing w:after="160" w:line="240" w:lineRule="exact"/>
    </w:pPr>
    <w:rPr>
      <w:rFonts w:ascii="Arial" w:hAnsi="Arial" w:cs="Arial"/>
      <w:b/>
      <w:bCs/>
      <w:sz w:val="20"/>
      <w:szCs w:val="20"/>
      <w:lang w:val="en-US" w:eastAsia="de-DE"/>
    </w:rPr>
  </w:style>
  <w:style w:type="paragraph" w:customStyle="1" w:styleId="2a">
    <w:name w:val="Знак Знак2"/>
    <w:basedOn w:val="a"/>
    <w:rsid w:val="007105D4"/>
    <w:pPr>
      <w:autoSpaceDE w:val="0"/>
      <w:autoSpaceDN w:val="0"/>
      <w:spacing w:after="160" w:line="240" w:lineRule="exact"/>
    </w:pPr>
    <w:rPr>
      <w:rFonts w:ascii="Arial" w:hAnsi="Arial" w:cs="Arial"/>
      <w:b/>
      <w:bCs/>
      <w:sz w:val="20"/>
      <w:szCs w:val="20"/>
      <w:lang w:val="en-US" w:eastAsia="de-DE"/>
    </w:rPr>
  </w:style>
  <w:style w:type="paragraph" w:customStyle="1" w:styleId="2b">
    <w:name w:val="Знак Знак2"/>
    <w:basedOn w:val="a"/>
    <w:rsid w:val="001C56C3"/>
    <w:pPr>
      <w:autoSpaceDE w:val="0"/>
      <w:autoSpaceDN w:val="0"/>
      <w:spacing w:after="160" w:line="240" w:lineRule="exact"/>
    </w:pPr>
    <w:rPr>
      <w:rFonts w:ascii="Arial" w:hAnsi="Arial" w:cs="Arial"/>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2422</TotalTime>
  <Pages>3</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О результатах проверки отчета об исполнении бюджета</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результатах проверки отчета об исполнении бюджета</dc:title>
  <dc:creator>Марина Николаевна</dc:creator>
  <cp:keywords>Вакс; Совет</cp:keywords>
  <cp:lastModifiedBy>Безносикова Марина Николаевна</cp:lastModifiedBy>
  <cp:revision>80</cp:revision>
  <cp:lastPrinted>2025-06-19T12:57:00Z</cp:lastPrinted>
  <dcterms:created xsi:type="dcterms:W3CDTF">2020-05-29T08:25:00Z</dcterms:created>
  <dcterms:modified xsi:type="dcterms:W3CDTF">2025-06-20T05:59:00Z</dcterms:modified>
</cp:coreProperties>
</file>