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C556D9" w:rsidRDefault="00DE3D37" w:rsidP="00DE3D37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t>О результатах проведения экспертизы проектов решений</w:t>
      </w:r>
    </w:p>
    <w:p w:rsidR="00DE3D37" w:rsidRPr="00C556D9" w:rsidRDefault="00DE3D37" w:rsidP="00DE3D37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t xml:space="preserve">Совета МО ГО "Сыктывкар" </w:t>
      </w:r>
    </w:p>
    <w:p w:rsidR="00DE3D37" w:rsidRPr="00C556D9" w:rsidRDefault="00DE3D37" w:rsidP="000C25EB">
      <w:pPr>
        <w:pStyle w:val="a6"/>
        <w:spacing w:before="120" w:after="120"/>
        <w:ind w:left="0" w:firstLine="567"/>
        <w:contextualSpacing w:val="0"/>
        <w:jc w:val="both"/>
      </w:pPr>
      <w:r w:rsidRPr="00C556D9">
        <w:t xml:space="preserve">Контрольно-счетная палата муниципального образования городского округа "Сыктывкар" провела экспертизу проектов решений включенных в повестку заседания Совета МО ГО "Сыктывкар" в </w:t>
      </w:r>
      <w:r w:rsidR="004B3FAC">
        <w:t>ноябре</w:t>
      </w:r>
      <w:r w:rsidRPr="00C556D9">
        <w:t xml:space="preserve"> 202</w:t>
      </w:r>
      <w:r w:rsidR="009C0FC5">
        <w:t>5</w:t>
      </w:r>
      <w:r w:rsidRPr="00C556D9">
        <w:t xml:space="preserve"> года.</w:t>
      </w:r>
    </w:p>
    <w:p w:rsidR="0031573D" w:rsidRPr="0031573D" w:rsidRDefault="00DE3D37" w:rsidP="0031573D">
      <w:pPr>
        <w:autoSpaceDE w:val="0"/>
        <w:autoSpaceDN w:val="0"/>
        <w:adjustRightInd w:val="0"/>
        <w:spacing w:before="60"/>
        <w:ind w:firstLine="567"/>
        <w:jc w:val="both"/>
        <w:rPr>
          <w:b/>
        </w:rPr>
      </w:pPr>
      <w:r w:rsidRPr="000C25EB">
        <w:rPr>
          <w:b/>
        </w:rPr>
        <w:t xml:space="preserve">"О внесении изменений в решение Совета МО ГО "Сыктывкар" от </w:t>
      </w:r>
      <w:r w:rsidR="00AB5F3F">
        <w:rPr>
          <w:b/>
        </w:rPr>
        <w:t>14</w:t>
      </w:r>
      <w:r w:rsidR="0031573D" w:rsidRPr="0031573D">
        <w:rPr>
          <w:b/>
        </w:rPr>
        <w:t>.12.202</w:t>
      </w:r>
      <w:r w:rsidR="00AB5F3F">
        <w:rPr>
          <w:b/>
        </w:rPr>
        <w:t>3</w:t>
      </w:r>
      <w:r w:rsidR="0031573D" w:rsidRPr="0031573D">
        <w:rPr>
          <w:b/>
        </w:rPr>
        <w:t xml:space="preserve"> №</w:t>
      </w:r>
      <w:r w:rsidR="0031573D">
        <w:rPr>
          <w:b/>
        </w:rPr>
        <w:t> </w:t>
      </w:r>
      <w:r w:rsidR="00AB5F3F">
        <w:rPr>
          <w:b/>
        </w:rPr>
        <w:t>27</w:t>
      </w:r>
      <w:r w:rsidR="0031573D" w:rsidRPr="0031573D">
        <w:rPr>
          <w:b/>
        </w:rPr>
        <w:t>/202</w:t>
      </w:r>
      <w:r w:rsidR="00AB5F3F">
        <w:rPr>
          <w:b/>
        </w:rPr>
        <w:t>3</w:t>
      </w:r>
      <w:r w:rsidR="0031573D" w:rsidRPr="0031573D">
        <w:rPr>
          <w:b/>
        </w:rPr>
        <w:t>-</w:t>
      </w:r>
      <w:r w:rsidR="00AB5F3F">
        <w:rPr>
          <w:b/>
        </w:rPr>
        <w:t>400</w:t>
      </w:r>
      <w:r w:rsidR="0031573D" w:rsidRPr="0031573D">
        <w:rPr>
          <w:b/>
        </w:rPr>
        <w:t xml:space="preserve"> "О бюджете МО ГО "Сыктывкар" на 202</w:t>
      </w:r>
      <w:r w:rsidR="00AB5F3F">
        <w:rPr>
          <w:b/>
        </w:rPr>
        <w:t>4</w:t>
      </w:r>
      <w:r w:rsidR="0031573D" w:rsidRPr="0031573D">
        <w:rPr>
          <w:b/>
        </w:rPr>
        <w:t xml:space="preserve"> год и плановый период 202</w:t>
      </w:r>
      <w:r w:rsidR="00AB5F3F">
        <w:rPr>
          <w:b/>
        </w:rPr>
        <w:t>5</w:t>
      </w:r>
      <w:r w:rsidR="0031573D" w:rsidRPr="0031573D">
        <w:rPr>
          <w:b/>
        </w:rPr>
        <w:t xml:space="preserve"> и 202</w:t>
      </w:r>
      <w:r w:rsidR="00AB5F3F">
        <w:rPr>
          <w:b/>
        </w:rPr>
        <w:t>6</w:t>
      </w:r>
      <w:r w:rsidR="0031573D" w:rsidRPr="0031573D">
        <w:rPr>
          <w:b/>
        </w:rPr>
        <w:t xml:space="preserve"> годов"</w:t>
      </w:r>
    </w:p>
    <w:p w:rsidR="00DE3D37" w:rsidRPr="008E68B3" w:rsidRDefault="00DE3D37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9C0FC5">
        <w:t xml:space="preserve">Проектом решения предусмотрено увеличение доходной части муниципального </w:t>
      </w:r>
      <w:r w:rsidRPr="008E68B3">
        <w:t>бюджета:</w:t>
      </w:r>
    </w:p>
    <w:p w:rsidR="00DE3D37" w:rsidRPr="008E68B3" w:rsidRDefault="00DE3D37" w:rsidP="003E3A78">
      <w:pPr>
        <w:autoSpaceDE w:val="0"/>
        <w:autoSpaceDN w:val="0"/>
        <w:adjustRightInd w:val="0"/>
        <w:ind w:firstLine="567"/>
        <w:jc w:val="both"/>
      </w:pPr>
      <w:r w:rsidRPr="008E68B3">
        <w:t>в 202</w:t>
      </w:r>
      <w:r w:rsidR="009C0FC5" w:rsidRPr="008E68B3">
        <w:t>5</w:t>
      </w:r>
      <w:r w:rsidRPr="008E68B3">
        <w:t xml:space="preserve"> году с </w:t>
      </w:r>
      <w:r w:rsidR="001464F7" w:rsidRPr="008E68B3">
        <w:t xml:space="preserve">15 064 711,0 </w:t>
      </w:r>
      <w:r w:rsidR="008E68B3" w:rsidRPr="008E68B3">
        <w:t xml:space="preserve">до 15 341 653,3 </w:t>
      </w:r>
      <w:r w:rsidRPr="008E68B3">
        <w:t>тыс. рублей (+</w:t>
      </w:r>
      <w:r w:rsidR="008E68B3" w:rsidRPr="008E68B3">
        <w:t>276 942,3</w:t>
      </w:r>
      <w:r w:rsidRPr="008E68B3">
        <w:t xml:space="preserve"> тыс. рублей);</w:t>
      </w:r>
    </w:p>
    <w:p w:rsidR="00DE3D37" w:rsidRPr="008E68B3" w:rsidRDefault="00DE3D37" w:rsidP="003E3A78">
      <w:pPr>
        <w:autoSpaceDE w:val="0"/>
        <w:autoSpaceDN w:val="0"/>
        <w:adjustRightInd w:val="0"/>
        <w:ind w:firstLine="567"/>
        <w:jc w:val="both"/>
      </w:pPr>
      <w:r w:rsidRPr="008E68B3">
        <w:t>в 202</w:t>
      </w:r>
      <w:r w:rsidR="009C0FC5" w:rsidRPr="008E68B3">
        <w:t>6</w:t>
      </w:r>
      <w:r w:rsidRPr="008E68B3">
        <w:t xml:space="preserve"> году с </w:t>
      </w:r>
      <w:r w:rsidR="007A0EE1" w:rsidRPr="008E68B3">
        <w:t xml:space="preserve">14 016 799,4 </w:t>
      </w:r>
      <w:r w:rsidR="008E68B3" w:rsidRPr="008E68B3">
        <w:t xml:space="preserve">до 14 299 909,5 </w:t>
      </w:r>
      <w:r w:rsidRPr="008E68B3">
        <w:t xml:space="preserve">тыс. рублей </w:t>
      </w:r>
      <w:r w:rsidR="008E68B3" w:rsidRPr="008E68B3">
        <w:t>(+ 283 110,1</w:t>
      </w:r>
      <w:r w:rsidR="009C0FC5" w:rsidRPr="008E68B3">
        <w:t xml:space="preserve"> </w:t>
      </w:r>
      <w:r w:rsidRPr="008E68B3">
        <w:t>тыс. рублей);</w:t>
      </w:r>
    </w:p>
    <w:p w:rsidR="00DE3D37" w:rsidRPr="008E68B3" w:rsidRDefault="00DE3D37" w:rsidP="003E3A78">
      <w:pPr>
        <w:autoSpaceDE w:val="0"/>
        <w:autoSpaceDN w:val="0"/>
        <w:adjustRightInd w:val="0"/>
        <w:ind w:firstLine="567"/>
        <w:jc w:val="both"/>
      </w:pPr>
      <w:r w:rsidRPr="008E68B3">
        <w:t>в 202</w:t>
      </w:r>
      <w:r w:rsidR="009C0FC5" w:rsidRPr="008E68B3">
        <w:t>7</w:t>
      </w:r>
      <w:r w:rsidRPr="008E68B3">
        <w:t xml:space="preserve"> году с </w:t>
      </w:r>
      <w:r w:rsidR="007A0EE1" w:rsidRPr="008E68B3">
        <w:t xml:space="preserve">13 985 318,5 </w:t>
      </w:r>
      <w:r w:rsidR="008E68B3" w:rsidRPr="008E68B3">
        <w:t>до 1</w:t>
      </w:r>
      <w:r w:rsidR="00E13745">
        <w:t>4 523 828,1</w:t>
      </w:r>
      <w:r w:rsidR="008E68B3" w:rsidRPr="008E68B3">
        <w:t xml:space="preserve"> </w:t>
      </w:r>
      <w:r w:rsidR="007A0EE1" w:rsidRPr="008E68B3">
        <w:t xml:space="preserve">тыс. рублей </w:t>
      </w:r>
      <w:r w:rsidR="008E68B3" w:rsidRPr="008E68B3">
        <w:t>(+538 509,6</w:t>
      </w:r>
      <w:r w:rsidR="007A0EE1" w:rsidRPr="008E68B3">
        <w:t xml:space="preserve"> </w:t>
      </w:r>
      <w:r w:rsidRPr="008E68B3">
        <w:t>тыс. рублей).</w:t>
      </w:r>
    </w:p>
    <w:p w:rsidR="00DE3D37" w:rsidRPr="005771C1" w:rsidRDefault="00DE3D37" w:rsidP="003E3A78">
      <w:pPr>
        <w:autoSpaceDE w:val="0"/>
        <w:autoSpaceDN w:val="0"/>
        <w:adjustRightInd w:val="0"/>
        <w:spacing w:before="120"/>
        <w:ind w:firstLine="567"/>
        <w:jc w:val="both"/>
      </w:pPr>
      <w:r w:rsidRPr="008E68B3">
        <w:t xml:space="preserve">Проектом решения предусмотрено увеличение общего объема расходов </w:t>
      </w:r>
      <w:r w:rsidRPr="005771C1">
        <w:t xml:space="preserve">муниципального бюджета: 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>в 202</w:t>
      </w:r>
      <w:r w:rsidR="009C0FC5" w:rsidRPr="005771C1">
        <w:t>5</w:t>
      </w:r>
      <w:r w:rsidRPr="005771C1">
        <w:t xml:space="preserve"> году с </w:t>
      </w:r>
      <w:r w:rsidR="007A0EE1" w:rsidRPr="005771C1">
        <w:t xml:space="preserve">15 760 262,4 </w:t>
      </w:r>
      <w:r w:rsidR="008E68B3" w:rsidRPr="005771C1">
        <w:t xml:space="preserve">до 16 050 587,5 </w:t>
      </w:r>
      <w:r w:rsidRPr="005771C1">
        <w:t>тыс. рублей (+</w:t>
      </w:r>
      <w:r w:rsidR="005771C1" w:rsidRPr="005771C1">
        <w:t>290 325,1</w:t>
      </w:r>
      <w:r w:rsidR="00AB5F3F" w:rsidRPr="005771C1">
        <w:t xml:space="preserve"> </w:t>
      </w:r>
      <w:r w:rsidRPr="005771C1">
        <w:t>тыс. рублей);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>в 202</w:t>
      </w:r>
      <w:r w:rsidR="009C0FC5" w:rsidRPr="005771C1">
        <w:t>6</w:t>
      </w:r>
      <w:r w:rsidRPr="005771C1">
        <w:t xml:space="preserve"> году с </w:t>
      </w:r>
      <w:r w:rsidR="00B6602D" w:rsidRPr="005771C1">
        <w:t xml:space="preserve">14 556 433,7 </w:t>
      </w:r>
      <w:r w:rsidR="005771C1" w:rsidRPr="005771C1">
        <w:t>до 14 839 54</w:t>
      </w:r>
      <w:r w:rsidR="00E13745">
        <w:t>3</w:t>
      </w:r>
      <w:r w:rsidR="005771C1" w:rsidRPr="005771C1">
        <w:t xml:space="preserve">,8 </w:t>
      </w:r>
      <w:r w:rsidRPr="005771C1">
        <w:t xml:space="preserve">тыс. рублей </w:t>
      </w:r>
      <w:r w:rsidR="00B6602D" w:rsidRPr="005771C1">
        <w:t>(</w:t>
      </w:r>
      <w:r w:rsidR="005771C1" w:rsidRPr="005771C1">
        <w:t>+283 110,1</w:t>
      </w:r>
      <w:r w:rsidR="00EB339A" w:rsidRPr="005771C1">
        <w:t xml:space="preserve"> </w:t>
      </w:r>
      <w:r w:rsidRPr="005771C1">
        <w:t>тыс. рублей);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>в 202</w:t>
      </w:r>
      <w:r w:rsidR="009C0FC5" w:rsidRPr="005771C1">
        <w:t>7</w:t>
      </w:r>
      <w:r w:rsidRPr="005771C1">
        <w:t xml:space="preserve"> году с </w:t>
      </w:r>
      <w:r w:rsidR="00B6602D" w:rsidRPr="005771C1">
        <w:t>14</w:t>
      </w:r>
      <w:r w:rsidR="005771C1" w:rsidRPr="005771C1">
        <w:t xml:space="preserve"> </w:t>
      </w:r>
      <w:r w:rsidR="00B6602D" w:rsidRPr="005771C1">
        <w:t xml:space="preserve">529 742,9 </w:t>
      </w:r>
      <w:r w:rsidR="005771C1" w:rsidRPr="005771C1">
        <w:t xml:space="preserve">до 15 068 252,5 </w:t>
      </w:r>
      <w:r w:rsidR="00B6602D" w:rsidRPr="005771C1">
        <w:t xml:space="preserve">тыс. рублей </w:t>
      </w:r>
      <w:r w:rsidR="005771C1" w:rsidRPr="005771C1">
        <w:t xml:space="preserve">(+538 509,6 </w:t>
      </w:r>
      <w:r w:rsidRPr="005771C1">
        <w:t>тыс. рублей).</w:t>
      </w:r>
    </w:p>
    <w:p w:rsidR="00DE3D37" w:rsidRPr="005771C1" w:rsidRDefault="00DE3D37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5771C1">
        <w:t>Основные причины изменений, вносимых в расходную часть бюджета: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>- увеличение объема налоговых и неналоговых доходов;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 xml:space="preserve">- </w:t>
      </w:r>
      <w:r w:rsidR="00EB339A" w:rsidRPr="005771C1">
        <w:t>увелич</w:t>
      </w:r>
      <w:r w:rsidRPr="005771C1">
        <w:t>ение объема безвозмездных поступлений</w:t>
      </w:r>
      <w:r w:rsidR="005771C1" w:rsidRPr="005771C1">
        <w:t>;</w:t>
      </w:r>
    </w:p>
    <w:p w:rsidR="005771C1" w:rsidRPr="005771C1" w:rsidRDefault="005771C1" w:rsidP="003E3A78">
      <w:pPr>
        <w:autoSpaceDE w:val="0"/>
        <w:autoSpaceDN w:val="0"/>
        <w:adjustRightInd w:val="0"/>
        <w:ind w:firstLine="567"/>
        <w:jc w:val="both"/>
      </w:pPr>
      <w:r w:rsidRPr="005771C1">
        <w:t>- увеличения объема привлечения кредитов от кредитных организаций.</w:t>
      </w:r>
    </w:p>
    <w:p w:rsidR="00DE3D37" w:rsidRPr="005771C1" w:rsidRDefault="00DE3D37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5771C1">
        <w:t>Прогнозируемый размер дефицита бюджета:</w:t>
      </w:r>
    </w:p>
    <w:p w:rsidR="00EB339A" w:rsidRPr="005771C1" w:rsidRDefault="00EB339A" w:rsidP="003E3A78">
      <w:pPr>
        <w:autoSpaceDE w:val="0"/>
        <w:autoSpaceDN w:val="0"/>
        <w:adjustRightInd w:val="0"/>
        <w:ind w:firstLine="567"/>
        <w:jc w:val="both"/>
      </w:pPr>
      <w:r w:rsidRPr="005771C1">
        <w:t xml:space="preserve">2025 год </w:t>
      </w:r>
      <w:r w:rsidRPr="005771C1">
        <w:rPr>
          <w:bCs/>
        </w:rPr>
        <w:t>–</w:t>
      </w:r>
      <w:r w:rsidRPr="005771C1">
        <w:t xml:space="preserve"> </w:t>
      </w:r>
      <w:r w:rsidR="005771C1" w:rsidRPr="005771C1">
        <w:t>708 934,2</w:t>
      </w:r>
      <w:r w:rsidRPr="005771C1">
        <w:t xml:space="preserve"> тыс. рублей (+</w:t>
      </w:r>
      <w:r w:rsidR="005771C1" w:rsidRPr="005771C1">
        <w:t>13 382,8</w:t>
      </w:r>
      <w:r w:rsidRPr="005771C1">
        <w:t xml:space="preserve"> тыс. рублей);</w:t>
      </w:r>
    </w:p>
    <w:p w:rsidR="00EB339A" w:rsidRPr="005771C1" w:rsidRDefault="00EB339A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771C1">
        <w:rPr>
          <w:bCs/>
        </w:rPr>
        <w:t>2026 год – 539 634,3 тыс. рублей (без изменений);</w:t>
      </w:r>
    </w:p>
    <w:p w:rsidR="00EB339A" w:rsidRPr="005771C1" w:rsidRDefault="00EB339A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771C1">
        <w:rPr>
          <w:bCs/>
        </w:rPr>
        <w:t>2027 год – 544 424,4 тыс. рублей (без изменений).</w:t>
      </w:r>
    </w:p>
    <w:p w:rsidR="00DE3D37" w:rsidRPr="005771C1" w:rsidRDefault="00DE3D37" w:rsidP="003E3A78">
      <w:pPr>
        <w:autoSpaceDE w:val="0"/>
        <w:autoSpaceDN w:val="0"/>
        <w:adjustRightInd w:val="0"/>
        <w:ind w:firstLine="567"/>
        <w:jc w:val="both"/>
      </w:pPr>
      <w:r w:rsidRPr="005771C1">
        <w:t xml:space="preserve">Планируемый размер дефицита бюджета на текущий финансовый год и на плановый период не </w:t>
      </w:r>
      <w:proofErr w:type="gramStart"/>
      <w:r w:rsidRPr="005771C1">
        <w:t>противоречит требованиям пункта 3 статьи 92.1 Бюджетного кодекса Российской Федерации и в соответствии с требованиями бюджетного законодательства в полном объеме покрывается</w:t>
      </w:r>
      <w:proofErr w:type="gramEnd"/>
      <w:r w:rsidRPr="005771C1">
        <w:t xml:space="preserve"> источниками финансирования дефицита бюджета.</w:t>
      </w:r>
    </w:p>
    <w:p w:rsidR="005771C1" w:rsidRPr="005771C1" w:rsidRDefault="005771C1" w:rsidP="003E3A78">
      <w:pPr>
        <w:autoSpaceDE w:val="0"/>
        <w:autoSpaceDN w:val="0"/>
        <w:adjustRightInd w:val="0"/>
        <w:spacing w:before="60"/>
        <w:ind w:firstLine="567"/>
        <w:jc w:val="both"/>
        <w:rPr>
          <w:bCs/>
        </w:rPr>
      </w:pPr>
      <w:r w:rsidRPr="005771C1">
        <w:t xml:space="preserve">Проектом решения предлагается увеличить в 2025 году объем привлечения кредитов от кредитных организаций на 13 382,8 тыс. рублей, при этом </w:t>
      </w:r>
      <w:r w:rsidRPr="005771C1">
        <w:rPr>
          <w:bCs/>
        </w:rPr>
        <w:t xml:space="preserve">расходы на обслуживание муниципального долга </w:t>
      </w:r>
      <w:r w:rsidRPr="005771C1">
        <w:t>сократить</w:t>
      </w:r>
      <w:r w:rsidRPr="005771C1">
        <w:rPr>
          <w:bCs/>
        </w:rPr>
        <w:t xml:space="preserve"> на 30 000,0 тыс. рублей. </w:t>
      </w:r>
    </w:p>
    <w:p w:rsidR="001C56C3" w:rsidRPr="005771C1" w:rsidRDefault="001C56C3" w:rsidP="003E3A78">
      <w:pPr>
        <w:spacing w:before="60"/>
        <w:ind w:firstLine="567"/>
        <w:jc w:val="both"/>
      </w:pPr>
      <w:r w:rsidRPr="005771C1">
        <w:t xml:space="preserve">В связи с увеличением объема кредитов от кредитных организаций Проектом решения предлагается увеличить плановые значения верхнего предела муниципального долга по итогам 2025-2027 годов на </w:t>
      </w:r>
      <w:r w:rsidR="005771C1" w:rsidRPr="005771C1">
        <w:t>13 382,8</w:t>
      </w:r>
      <w:r w:rsidRPr="005771C1">
        <w:t xml:space="preserve"> тыс. рублей:</w:t>
      </w:r>
    </w:p>
    <w:p w:rsidR="005771C1" w:rsidRPr="005771C1" w:rsidRDefault="005771C1" w:rsidP="003E3A78">
      <w:pPr>
        <w:ind w:firstLine="567"/>
        <w:jc w:val="both"/>
      </w:pPr>
      <w:r w:rsidRPr="005771C1">
        <w:t>по состоянию на 1 января 2026 года с 2 237 152,4 до 2 250 535,2 тыс. рублей;</w:t>
      </w:r>
    </w:p>
    <w:p w:rsidR="005771C1" w:rsidRPr="005771C1" w:rsidRDefault="005771C1" w:rsidP="003E3A78">
      <w:pPr>
        <w:ind w:firstLine="567"/>
        <w:jc w:val="both"/>
      </w:pPr>
      <w:r w:rsidRPr="005771C1">
        <w:t>по состоянию на 1 января 2027 года с 2 776 786,7 до 2 790 169,5 тыс. рублей;</w:t>
      </w:r>
    </w:p>
    <w:p w:rsidR="005771C1" w:rsidRPr="005771C1" w:rsidRDefault="005771C1" w:rsidP="003E3A78">
      <w:pPr>
        <w:ind w:firstLine="567"/>
        <w:jc w:val="both"/>
      </w:pPr>
      <w:r w:rsidRPr="005771C1">
        <w:t>по состоянию на 1 января 2028 года с 3 321 211,1 до 3 334 593,9 тыс. рублей.</w:t>
      </w:r>
    </w:p>
    <w:p w:rsidR="00440E16" w:rsidRPr="005771C1" w:rsidRDefault="00440E16" w:rsidP="003E3A78">
      <w:pPr>
        <w:ind w:firstLine="567"/>
        <w:jc w:val="both"/>
      </w:pPr>
      <w:r w:rsidRPr="005771C1">
        <w:t>С учетом источников финансирования дефицита бюджета соблюден принцип сбалансированности по доходам и по расходам в соответствии с требованиями статьи 33 Бюджетного кодекса Российской Федерации.</w:t>
      </w:r>
    </w:p>
    <w:p w:rsidR="00DC477E" w:rsidRPr="005771C1" w:rsidRDefault="00DC477E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5771C1">
        <w:t xml:space="preserve">Увеличение объемов финансирования по непрограммным направлениям деятельности обусловлено в основном увеличением общего объема расходов, запланированных на исполнение судебных актов по обращению взыскания на средства бюджета на </w:t>
      </w:r>
      <w:r w:rsidR="005771C1" w:rsidRPr="005771C1">
        <w:t>82 607,7 тыс. рублей или 48,7 процента (с 169 578,0 до 252 185,7 тыс. рублей).</w:t>
      </w:r>
    </w:p>
    <w:p w:rsidR="00DC477E" w:rsidRPr="00142C2C" w:rsidRDefault="00DC477E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142C2C">
        <w:t xml:space="preserve">Проектом решения планируется </w:t>
      </w:r>
      <w:r w:rsidRPr="00142C2C">
        <w:rPr>
          <w:bCs/>
        </w:rPr>
        <w:t>увеличение</w:t>
      </w:r>
      <w:r w:rsidRPr="00142C2C">
        <w:t xml:space="preserve"> в 2026-2027 </w:t>
      </w:r>
      <w:proofErr w:type="gramStart"/>
      <w:r w:rsidRPr="00142C2C">
        <w:t>годах</w:t>
      </w:r>
      <w:proofErr w:type="gramEnd"/>
      <w:r w:rsidRPr="00142C2C">
        <w:t xml:space="preserve"> объема условно утверждаемых (утвержденных) расходов:</w:t>
      </w:r>
    </w:p>
    <w:p w:rsidR="005771C1" w:rsidRPr="00F46FD0" w:rsidRDefault="005771C1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6FD0">
        <w:rPr>
          <w:bCs/>
        </w:rPr>
        <w:t>2026 год – на 280,0 тыс. рублей (с 281 056,0 до 281 336,0 тыс. рублей);</w:t>
      </w:r>
    </w:p>
    <w:p w:rsidR="005771C1" w:rsidRPr="00F46FD0" w:rsidRDefault="005771C1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6FD0">
        <w:rPr>
          <w:bCs/>
        </w:rPr>
        <w:t>2027 год – на 280,0 тыс. рублей (с 531 056,0 до 531 336,0 тыс. рублей).</w:t>
      </w:r>
    </w:p>
    <w:p w:rsidR="003E3A78" w:rsidRDefault="003E3A78" w:rsidP="003E3A78">
      <w:pPr>
        <w:autoSpaceDE w:val="0"/>
        <w:autoSpaceDN w:val="0"/>
        <w:adjustRightInd w:val="0"/>
        <w:spacing w:before="120"/>
        <w:ind w:firstLine="567"/>
        <w:jc w:val="both"/>
      </w:pPr>
    </w:p>
    <w:p w:rsidR="00DC477E" w:rsidRPr="00142C2C" w:rsidRDefault="00DC477E" w:rsidP="003E3A78">
      <w:pPr>
        <w:autoSpaceDE w:val="0"/>
        <w:autoSpaceDN w:val="0"/>
        <w:adjustRightInd w:val="0"/>
        <w:spacing w:before="120"/>
        <w:ind w:firstLine="567"/>
        <w:jc w:val="both"/>
      </w:pPr>
      <w:r w:rsidRPr="00142C2C">
        <w:lastRenderedPageBreak/>
        <w:t>Проектом решения планируется сокращ</w:t>
      </w:r>
      <w:r w:rsidRPr="00142C2C">
        <w:rPr>
          <w:bCs/>
        </w:rPr>
        <w:t>ение</w:t>
      </w:r>
      <w:r w:rsidRPr="00142C2C">
        <w:t xml:space="preserve"> в 2025-2027 </w:t>
      </w:r>
      <w:proofErr w:type="gramStart"/>
      <w:r w:rsidRPr="00142C2C">
        <w:t>годах</w:t>
      </w:r>
      <w:proofErr w:type="gramEnd"/>
      <w:r w:rsidRPr="00142C2C">
        <w:t xml:space="preserve"> объема бюджетных ассигнований на исполнение публичных нормативных обязательств МО ГО "Сыктывкар":</w:t>
      </w:r>
    </w:p>
    <w:p w:rsidR="00142C2C" w:rsidRPr="00F46FD0" w:rsidRDefault="00142C2C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6FD0">
        <w:rPr>
          <w:bCs/>
        </w:rPr>
        <w:t>2025 год – на 111,1 тыс. рублей (с 2 255,5 до 2 144,4 тыс. рублей);</w:t>
      </w:r>
    </w:p>
    <w:p w:rsidR="00142C2C" w:rsidRPr="00F46FD0" w:rsidRDefault="00142C2C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6FD0">
        <w:rPr>
          <w:bCs/>
        </w:rPr>
        <w:t>2026 год – на 280,0 тыс. рублей (с 2 400,0 до 2 120,0 тыс. рублей);</w:t>
      </w:r>
    </w:p>
    <w:p w:rsidR="00142C2C" w:rsidRPr="00F46FD0" w:rsidRDefault="00142C2C" w:rsidP="003E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6FD0">
        <w:rPr>
          <w:bCs/>
        </w:rPr>
        <w:t>2027 год – на 280,0 тыс. рублей (с 2 568,0 до 2 288,0 тыс. рублей).</w:t>
      </w:r>
    </w:p>
    <w:p w:rsidR="00DC477E" w:rsidRPr="00142C2C" w:rsidRDefault="00DC477E" w:rsidP="003E3A78">
      <w:pPr>
        <w:autoSpaceDE w:val="0"/>
        <w:autoSpaceDN w:val="0"/>
        <w:adjustRightInd w:val="0"/>
        <w:spacing w:before="120"/>
        <w:ind w:firstLine="567"/>
        <w:jc w:val="both"/>
        <w:rPr>
          <w:bCs/>
        </w:rPr>
      </w:pPr>
      <w:r w:rsidRPr="00142C2C">
        <w:t xml:space="preserve">Проектом решения планируется </w:t>
      </w:r>
      <w:r w:rsidRPr="00142C2C">
        <w:rPr>
          <w:bCs/>
        </w:rPr>
        <w:t>увеличение</w:t>
      </w:r>
      <w:r w:rsidRPr="00142C2C">
        <w:t xml:space="preserve"> в 2025</w:t>
      </w:r>
      <w:r w:rsidR="00142C2C" w:rsidRPr="00142C2C">
        <w:t xml:space="preserve"> </w:t>
      </w:r>
      <w:r w:rsidRPr="00142C2C">
        <w:t>год</w:t>
      </w:r>
      <w:r w:rsidR="00142C2C" w:rsidRPr="00142C2C">
        <w:t>у</w:t>
      </w:r>
      <w:r w:rsidRPr="00142C2C">
        <w:t xml:space="preserve"> объема бюджетных ассигнований</w:t>
      </w:r>
      <w:r w:rsidRPr="00142C2C">
        <w:rPr>
          <w:bCs/>
        </w:rPr>
        <w:t xml:space="preserve"> муниципального дорожного фонда МО ГО "Сыктывкар":</w:t>
      </w:r>
    </w:p>
    <w:p w:rsidR="00142C2C" w:rsidRPr="00A24533" w:rsidRDefault="00142C2C" w:rsidP="003E3A78">
      <w:pPr>
        <w:ind w:firstLine="567"/>
        <w:jc w:val="both"/>
        <w:rPr>
          <w:bCs/>
        </w:rPr>
      </w:pPr>
      <w:r w:rsidRPr="00A24533">
        <w:rPr>
          <w:bCs/>
        </w:rPr>
        <w:t>2025 год – на 41 182,6 тыс. рублей (с 649 619,2 до 690 801,8 тыс. рублей);</w:t>
      </w:r>
    </w:p>
    <w:p w:rsidR="00142C2C" w:rsidRPr="00A24533" w:rsidRDefault="00142C2C" w:rsidP="003E3A78">
      <w:pPr>
        <w:ind w:firstLine="567"/>
        <w:jc w:val="both"/>
        <w:rPr>
          <w:bCs/>
        </w:rPr>
      </w:pPr>
      <w:r w:rsidRPr="00A24533">
        <w:rPr>
          <w:bCs/>
        </w:rPr>
        <w:t>2026 год – без изменений (381 265,1 тыс. рублей);</w:t>
      </w:r>
    </w:p>
    <w:p w:rsidR="00142C2C" w:rsidRPr="00A24533" w:rsidRDefault="00142C2C" w:rsidP="003E3A78">
      <w:pPr>
        <w:ind w:firstLine="567"/>
        <w:jc w:val="both"/>
        <w:rPr>
          <w:bCs/>
        </w:rPr>
      </w:pPr>
      <w:r w:rsidRPr="00A24533">
        <w:rPr>
          <w:bCs/>
        </w:rPr>
        <w:t>2027 год – без изменений (611 306,4 тыс. рублей).</w:t>
      </w:r>
    </w:p>
    <w:p w:rsidR="00142C2C" w:rsidRPr="00142C2C" w:rsidRDefault="00142C2C" w:rsidP="003E3A78">
      <w:pPr>
        <w:autoSpaceDE w:val="0"/>
        <w:autoSpaceDN w:val="0"/>
        <w:adjustRightInd w:val="0"/>
        <w:spacing w:before="60"/>
        <w:ind w:firstLine="567"/>
        <w:jc w:val="both"/>
      </w:pPr>
      <w:r w:rsidRPr="00D23273">
        <w:t xml:space="preserve">Проектом решения планируется </w:t>
      </w:r>
      <w:r w:rsidRPr="00142C2C">
        <w:t>изменение</w:t>
      </w:r>
      <w:r w:rsidRPr="00D23273">
        <w:t xml:space="preserve"> </w:t>
      </w:r>
      <w:r w:rsidRPr="00142C2C">
        <w:t xml:space="preserve">в 2025-2027 </w:t>
      </w:r>
      <w:proofErr w:type="gramStart"/>
      <w:r w:rsidRPr="00142C2C">
        <w:t>годах</w:t>
      </w:r>
      <w:proofErr w:type="gramEnd"/>
      <w:r w:rsidRPr="00D23273">
        <w:rPr>
          <w:b/>
        </w:rPr>
        <w:t xml:space="preserve"> </w:t>
      </w:r>
      <w:r w:rsidRPr="00D23273">
        <w:t>объема бюджетных ассигнований</w:t>
      </w:r>
      <w:r w:rsidRPr="00D23273">
        <w:rPr>
          <w:b/>
        </w:rPr>
        <w:t xml:space="preserve"> </w:t>
      </w:r>
      <w:r w:rsidRPr="00142C2C">
        <w:t>на реализацию инвестиционных проектов, финансируемых за счет бюджетных средств:</w:t>
      </w:r>
    </w:p>
    <w:p w:rsidR="00142C2C" w:rsidRPr="00D23273" w:rsidRDefault="00142C2C" w:rsidP="003E3A78">
      <w:pPr>
        <w:autoSpaceDE w:val="0"/>
        <w:autoSpaceDN w:val="0"/>
        <w:adjustRightInd w:val="0"/>
        <w:ind w:firstLine="567"/>
        <w:jc w:val="both"/>
      </w:pPr>
      <w:r w:rsidRPr="00D23273">
        <w:t>2025 год – сокращение на 148 012,0 тыс. рублей (с 1</w:t>
      </w:r>
      <w:r>
        <w:t> </w:t>
      </w:r>
      <w:r w:rsidRPr="00D23273">
        <w:t>271</w:t>
      </w:r>
      <w:r>
        <w:t> </w:t>
      </w:r>
      <w:r w:rsidRPr="00D23273">
        <w:t>113,3 до 1</w:t>
      </w:r>
      <w:r>
        <w:t> </w:t>
      </w:r>
      <w:r w:rsidRPr="00D23273">
        <w:t>123</w:t>
      </w:r>
      <w:r>
        <w:t> </w:t>
      </w:r>
      <w:r w:rsidRPr="00D23273">
        <w:t>101,3</w:t>
      </w:r>
      <w:r>
        <w:t xml:space="preserve"> </w:t>
      </w:r>
      <w:r w:rsidRPr="00D23273">
        <w:t>тыс. рублей);</w:t>
      </w:r>
    </w:p>
    <w:p w:rsidR="00142C2C" w:rsidRPr="00D23273" w:rsidRDefault="00142C2C" w:rsidP="003E3A78">
      <w:pPr>
        <w:ind w:firstLine="567"/>
        <w:jc w:val="both"/>
        <w:rPr>
          <w:bCs/>
        </w:rPr>
      </w:pPr>
      <w:r w:rsidRPr="00D23273">
        <w:rPr>
          <w:bCs/>
        </w:rPr>
        <w:t>2026 год – сокращение на 150 938,7 тыс. рублей (с 803 129,1 до 652 190,4 тыс. рублей);</w:t>
      </w:r>
    </w:p>
    <w:p w:rsidR="00142C2C" w:rsidRPr="00FD3B75" w:rsidRDefault="00142C2C" w:rsidP="003E3A78">
      <w:pPr>
        <w:ind w:firstLine="567"/>
        <w:jc w:val="both"/>
        <w:rPr>
          <w:bCs/>
        </w:rPr>
      </w:pPr>
      <w:r w:rsidRPr="00FD3B75">
        <w:rPr>
          <w:bCs/>
        </w:rPr>
        <w:t>2027 год – увеличение на 275 775,1 тыс. рублей (с 560 400,2 до 836 175,3 тыс. рублей).</w:t>
      </w:r>
    </w:p>
    <w:p w:rsidR="00142C2C" w:rsidRPr="003E3A78" w:rsidRDefault="00142C2C" w:rsidP="003E3A78">
      <w:pPr>
        <w:ind w:firstLine="567"/>
        <w:jc w:val="both"/>
        <w:rPr>
          <w:bCs/>
        </w:rPr>
      </w:pPr>
      <w:r w:rsidRPr="003E3A78">
        <w:rPr>
          <w:bCs/>
        </w:rPr>
        <w:t xml:space="preserve">В перечне инвестиционных проектов планируется </w:t>
      </w:r>
      <w:r w:rsidRPr="003E3A78">
        <w:t>изменить объемы финансирования по 2</w:t>
      </w:r>
      <w:r w:rsidR="00E13745" w:rsidRPr="003E3A78">
        <w:t>2</w:t>
      </w:r>
      <w:r w:rsidRPr="003E3A78">
        <w:t xml:space="preserve"> из 45 проектов</w:t>
      </w:r>
      <w:r w:rsidRPr="003E3A78">
        <w:rPr>
          <w:bCs/>
        </w:rPr>
        <w:t>.</w:t>
      </w:r>
    </w:p>
    <w:p w:rsidR="0012692D" w:rsidRPr="003E3A78" w:rsidRDefault="003E3A78" w:rsidP="003E3A78">
      <w:pPr>
        <w:autoSpaceDE w:val="0"/>
        <w:autoSpaceDN w:val="0"/>
        <w:adjustRightInd w:val="0"/>
        <w:ind w:firstLine="567"/>
        <w:jc w:val="both"/>
      </w:pPr>
      <w:r w:rsidRPr="003E3A78">
        <w:t>В заключении также указано</w:t>
      </w:r>
      <w:r w:rsidR="0012692D" w:rsidRPr="003E3A78">
        <w:t>, что в 2025 году Контрольно-счетной палатой проведена проверка целевого и эффективного использования бюджетных средств, направленных на реализацию основного мероприятия "Обеспечение деятельности (оказание услуг) муниципальных учреждений (организаций)" подпрограммы "Малое и среднее предпринимательство" муниципальной программы "Содействие развитию экономики".</w:t>
      </w:r>
    </w:p>
    <w:p w:rsidR="0012692D" w:rsidRPr="003E3A78" w:rsidRDefault="0012692D" w:rsidP="003E3A78">
      <w:pPr>
        <w:autoSpaceDE w:val="0"/>
        <w:autoSpaceDN w:val="0"/>
        <w:adjustRightInd w:val="0"/>
        <w:ind w:firstLine="567"/>
        <w:jc w:val="both"/>
      </w:pPr>
      <w:r w:rsidRPr="003E3A78">
        <w:t>В рамках реализации основного мероприятия осуществляется финансирование деятельности Муниципального бюджетного учреждения "Центр делового сотрудничества" (далее – МБУ "ЦДС").</w:t>
      </w:r>
    </w:p>
    <w:p w:rsidR="0012692D" w:rsidRPr="003E3A78" w:rsidRDefault="0012692D" w:rsidP="003E3A78">
      <w:pPr>
        <w:autoSpaceDE w:val="0"/>
        <w:autoSpaceDN w:val="0"/>
        <w:adjustRightInd w:val="0"/>
        <w:ind w:firstLine="567"/>
        <w:jc w:val="both"/>
      </w:pPr>
      <w:proofErr w:type="gramStart"/>
      <w:r w:rsidRPr="003E3A78">
        <w:t>При проведении контрольного мероприятия установлено, что в норматив затрат на оказание МБУ "ЦДС" муниципальной услуги необоснованно приняты: расходы по содержанию недвижимого имущества, сдаваемого в аренду; расходы не связанные с оказанием муниципальной услуги; расходы, превышающие фактическую потребность, что привело к завышению объема субсидии на выполнение муниципального задания в 2025 году на сумму 2 091 453,86 рублей.</w:t>
      </w:r>
      <w:proofErr w:type="gramEnd"/>
    </w:p>
    <w:p w:rsidR="0012692D" w:rsidRPr="003E3A78" w:rsidRDefault="0012692D" w:rsidP="003E3A78">
      <w:pPr>
        <w:autoSpaceDE w:val="0"/>
        <w:autoSpaceDN w:val="0"/>
        <w:adjustRightInd w:val="0"/>
        <w:ind w:firstLine="567"/>
        <w:jc w:val="both"/>
      </w:pPr>
      <w:r w:rsidRPr="003E3A78">
        <w:t xml:space="preserve">По итогам проверки в адрес Администрации МО ГО "Сыктывкар" направлено представление от 20.10.2025 № 05-05/226 с требованием </w:t>
      </w:r>
      <w:proofErr w:type="gramStart"/>
      <w:r w:rsidRPr="003E3A78">
        <w:t>провести</w:t>
      </w:r>
      <w:proofErr w:type="gramEnd"/>
      <w:r w:rsidRPr="003E3A78">
        <w:t xml:space="preserve"> перерасчет нормативных затрат МБУ "ЦДС" и сократить объем субсидии на выполнение муниципального задания.</w:t>
      </w:r>
    </w:p>
    <w:p w:rsidR="0012692D" w:rsidRPr="003E3A78" w:rsidRDefault="0012692D" w:rsidP="003E3A78">
      <w:pPr>
        <w:autoSpaceDE w:val="0"/>
        <w:autoSpaceDN w:val="0"/>
        <w:adjustRightInd w:val="0"/>
        <w:ind w:firstLine="567"/>
        <w:jc w:val="both"/>
      </w:pPr>
      <w:r w:rsidRPr="003E3A78">
        <w:t xml:space="preserve">В Проекте решения требования Контрольно-счетной палаты не учтены – объем субсидии на финансирование деятельности МБУ "ЦДС" не </w:t>
      </w:r>
      <w:proofErr w:type="gramStart"/>
      <w:r w:rsidRPr="003E3A78">
        <w:t>изменен и составляет</w:t>
      </w:r>
      <w:proofErr w:type="gramEnd"/>
      <w:r w:rsidRPr="003E3A78">
        <w:t xml:space="preserve"> 18 668,1 тыс. рублей.</w:t>
      </w:r>
    </w:p>
    <w:p w:rsidR="00FC2885" w:rsidRDefault="00FC2885" w:rsidP="003E3A78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</w:p>
    <w:p w:rsidR="00FC2885" w:rsidRDefault="00FC2885" w:rsidP="00FC2885">
      <w:pPr>
        <w:autoSpaceDE w:val="0"/>
        <w:autoSpaceDN w:val="0"/>
        <w:adjustRightInd w:val="0"/>
        <w:spacing w:line="233" w:lineRule="auto"/>
        <w:ind w:firstLine="567"/>
        <w:jc w:val="both"/>
        <w:outlineLvl w:val="1"/>
        <w:rPr>
          <w:b/>
        </w:rPr>
      </w:pPr>
    </w:p>
    <w:p w:rsidR="00FC2885" w:rsidRPr="008702D2" w:rsidRDefault="00FC2885" w:rsidP="00EE2D42">
      <w:pPr>
        <w:autoSpaceDE w:val="0"/>
        <w:autoSpaceDN w:val="0"/>
        <w:adjustRightInd w:val="0"/>
        <w:spacing w:line="233" w:lineRule="auto"/>
        <w:ind w:firstLine="567"/>
        <w:jc w:val="both"/>
        <w:outlineLvl w:val="1"/>
      </w:pPr>
      <w:bookmarkStart w:id="0" w:name="_GoBack"/>
      <w:bookmarkEnd w:id="0"/>
    </w:p>
    <w:sectPr w:rsidR="00FC2885" w:rsidRPr="008702D2" w:rsidSect="00643DA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3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544A"/>
    <w:rsid w:val="000660DD"/>
    <w:rsid w:val="0007277B"/>
    <w:rsid w:val="000837F5"/>
    <w:rsid w:val="00084233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2692D"/>
    <w:rsid w:val="0013417C"/>
    <w:rsid w:val="00142C2C"/>
    <w:rsid w:val="001464F7"/>
    <w:rsid w:val="00150AC1"/>
    <w:rsid w:val="00167C10"/>
    <w:rsid w:val="00170825"/>
    <w:rsid w:val="00175CCC"/>
    <w:rsid w:val="00182D8C"/>
    <w:rsid w:val="00186860"/>
    <w:rsid w:val="00190855"/>
    <w:rsid w:val="001B12ED"/>
    <w:rsid w:val="001C56C3"/>
    <w:rsid w:val="001C70EC"/>
    <w:rsid w:val="001E191E"/>
    <w:rsid w:val="001E3E37"/>
    <w:rsid w:val="001E5392"/>
    <w:rsid w:val="0022067A"/>
    <w:rsid w:val="00220985"/>
    <w:rsid w:val="002416CA"/>
    <w:rsid w:val="002548A2"/>
    <w:rsid w:val="00261213"/>
    <w:rsid w:val="002756A4"/>
    <w:rsid w:val="00281BD3"/>
    <w:rsid w:val="00284C5D"/>
    <w:rsid w:val="00293F83"/>
    <w:rsid w:val="002A4CB7"/>
    <w:rsid w:val="002C1A93"/>
    <w:rsid w:val="002C6BB3"/>
    <w:rsid w:val="002D6F4C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A1CC0"/>
    <w:rsid w:val="003A3706"/>
    <w:rsid w:val="003B1324"/>
    <w:rsid w:val="003C2ED2"/>
    <w:rsid w:val="003C3299"/>
    <w:rsid w:val="003D2F6F"/>
    <w:rsid w:val="003D434D"/>
    <w:rsid w:val="003E3A78"/>
    <w:rsid w:val="0040050B"/>
    <w:rsid w:val="00403654"/>
    <w:rsid w:val="00423562"/>
    <w:rsid w:val="00427B8D"/>
    <w:rsid w:val="004311AE"/>
    <w:rsid w:val="00440E16"/>
    <w:rsid w:val="004415E0"/>
    <w:rsid w:val="00442A0F"/>
    <w:rsid w:val="00443ECC"/>
    <w:rsid w:val="00463941"/>
    <w:rsid w:val="004801CC"/>
    <w:rsid w:val="00484592"/>
    <w:rsid w:val="00490AC7"/>
    <w:rsid w:val="004B126C"/>
    <w:rsid w:val="004B1BCE"/>
    <w:rsid w:val="004B3FAC"/>
    <w:rsid w:val="004B78A7"/>
    <w:rsid w:val="004C1EC4"/>
    <w:rsid w:val="004D3D01"/>
    <w:rsid w:val="004E7920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771C1"/>
    <w:rsid w:val="00584371"/>
    <w:rsid w:val="0059131A"/>
    <w:rsid w:val="00592EE1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5ACC"/>
    <w:rsid w:val="00695F27"/>
    <w:rsid w:val="006A1734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818F0"/>
    <w:rsid w:val="00797162"/>
    <w:rsid w:val="007A0EE1"/>
    <w:rsid w:val="007A4D8B"/>
    <w:rsid w:val="007C2023"/>
    <w:rsid w:val="007C397E"/>
    <w:rsid w:val="007D14DD"/>
    <w:rsid w:val="007E65B6"/>
    <w:rsid w:val="007F631D"/>
    <w:rsid w:val="00803DFC"/>
    <w:rsid w:val="00806B56"/>
    <w:rsid w:val="00813E84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8E68B3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677B8"/>
    <w:rsid w:val="00970809"/>
    <w:rsid w:val="00974513"/>
    <w:rsid w:val="009774C2"/>
    <w:rsid w:val="00991C50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A42F58"/>
    <w:rsid w:val="00A456BB"/>
    <w:rsid w:val="00A46D96"/>
    <w:rsid w:val="00A507C7"/>
    <w:rsid w:val="00A60EFB"/>
    <w:rsid w:val="00A677AA"/>
    <w:rsid w:val="00A76D1C"/>
    <w:rsid w:val="00A77C7F"/>
    <w:rsid w:val="00A85E53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3F4D"/>
    <w:rsid w:val="00BA27A5"/>
    <w:rsid w:val="00BB7071"/>
    <w:rsid w:val="00BC1472"/>
    <w:rsid w:val="00BC533F"/>
    <w:rsid w:val="00BC661F"/>
    <w:rsid w:val="00BD02E2"/>
    <w:rsid w:val="00BE571E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574B"/>
    <w:rsid w:val="00D308F5"/>
    <w:rsid w:val="00D30E66"/>
    <w:rsid w:val="00D31C0E"/>
    <w:rsid w:val="00D46D53"/>
    <w:rsid w:val="00D550F5"/>
    <w:rsid w:val="00D55FB0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62FC"/>
    <w:rsid w:val="00DA6FAA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10246"/>
    <w:rsid w:val="00E13745"/>
    <w:rsid w:val="00E20939"/>
    <w:rsid w:val="00E24310"/>
    <w:rsid w:val="00E27D7B"/>
    <w:rsid w:val="00E461AA"/>
    <w:rsid w:val="00E62111"/>
    <w:rsid w:val="00E75D0F"/>
    <w:rsid w:val="00E772FC"/>
    <w:rsid w:val="00E7747E"/>
    <w:rsid w:val="00E80790"/>
    <w:rsid w:val="00E865BD"/>
    <w:rsid w:val="00E90296"/>
    <w:rsid w:val="00EA44FC"/>
    <w:rsid w:val="00EB0EE8"/>
    <w:rsid w:val="00EB160A"/>
    <w:rsid w:val="00EB339A"/>
    <w:rsid w:val="00EC1C6C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37613"/>
    <w:rsid w:val="00F4076B"/>
    <w:rsid w:val="00F5373F"/>
    <w:rsid w:val="00F55249"/>
    <w:rsid w:val="00F63EEE"/>
    <w:rsid w:val="00F646E2"/>
    <w:rsid w:val="00F64A32"/>
    <w:rsid w:val="00F654E8"/>
    <w:rsid w:val="00F727F3"/>
    <w:rsid w:val="00F738C6"/>
    <w:rsid w:val="00F80FC2"/>
    <w:rsid w:val="00F83E2B"/>
    <w:rsid w:val="00F86923"/>
    <w:rsid w:val="00F9457E"/>
    <w:rsid w:val="00FA1264"/>
    <w:rsid w:val="00FA2D4A"/>
    <w:rsid w:val="00FA4660"/>
    <w:rsid w:val="00FA4D34"/>
    <w:rsid w:val="00FB1CF2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86</cp:revision>
  <cp:lastPrinted>2025-06-19T12:57:00Z</cp:lastPrinted>
  <dcterms:created xsi:type="dcterms:W3CDTF">2020-05-29T08:25:00Z</dcterms:created>
  <dcterms:modified xsi:type="dcterms:W3CDTF">2025-11-24T05:56:00Z</dcterms:modified>
</cp:coreProperties>
</file>