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>О результатах проведения экспертизы проектов решений</w:t>
      </w:r>
    </w:p>
    <w:p w:rsidR="00DE3D37" w:rsidRPr="00C556D9" w:rsidRDefault="00DE3D37" w:rsidP="00DA71EE">
      <w:pPr>
        <w:autoSpaceDE w:val="0"/>
        <w:autoSpaceDN w:val="0"/>
        <w:adjustRightInd w:val="0"/>
        <w:spacing w:line="233" w:lineRule="auto"/>
        <w:jc w:val="center"/>
        <w:rPr>
          <w:b/>
        </w:rPr>
      </w:pPr>
      <w:r w:rsidRPr="00C556D9">
        <w:rPr>
          <w:b/>
        </w:rPr>
        <w:t xml:space="preserve">Совета МО ГО "Сыктывкар" </w:t>
      </w:r>
    </w:p>
    <w:p w:rsidR="00DE3D37" w:rsidRPr="00C556D9" w:rsidRDefault="00DE3D37" w:rsidP="00DA71EE">
      <w:pPr>
        <w:pStyle w:val="a6"/>
        <w:spacing w:before="120" w:after="120" w:line="233" w:lineRule="auto"/>
        <w:ind w:left="0" w:firstLine="567"/>
        <w:contextualSpacing w:val="0"/>
        <w:jc w:val="both"/>
      </w:pPr>
      <w:r w:rsidRPr="00C556D9">
        <w:t xml:space="preserve">Контрольно-счетная палата муниципального образования городского округа "Сыктывкар" провела экспертизу проектов решений включенных в повестку заседания Совета МО ГО "Сыктывкар" в </w:t>
      </w:r>
      <w:r w:rsidR="00F864CC">
        <w:t>дека</w:t>
      </w:r>
      <w:r w:rsidR="004B3FAC">
        <w:t>бре</w:t>
      </w:r>
      <w:r w:rsidRPr="00C556D9">
        <w:t xml:space="preserve"> 202</w:t>
      </w:r>
      <w:r w:rsidR="009C0FC5">
        <w:t>5</w:t>
      </w:r>
      <w:r w:rsidRPr="00C556D9">
        <w:t xml:space="preserve"> года.</w:t>
      </w:r>
    </w:p>
    <w:p w:rsidR="0031573D" w:rsidRPr="0031573D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  <w:rPr>
          <w:b/>
        </w:rPr>
      </w:pPr>
      <w:r w:rsidRPr="000C25EB">
        <w:rPr>
          <w:b/>
        </w:rPr>
        <w:t xml:space="preserve">"О внесении изменений в решение Совета МО ГО "Сыктывкар" от </w:t>
      </w:r>
      <w:r w:rsidR="00AB5F3F">
        <w:rPr>
          <w:b/>
        </w:rPr>
        <w:t>14</w:t>
      </w:r>
      <w:r w:rsidR="0031573D" w:rsidRPr="0031573D">
        <w:rPr>
          <w:b/>
        </w:rPr>
        <w:t>.12.202</w:t>
      </w:r>
      <w:r w:rsidR="00AB5F3F">
        <w:rPr>
          <w:b/>
        </w:rPr>
        <w:t>3</w:t>
      </w:r>
      <w:r w:rsidR="0031573D" w:rsidRPr="0031573D">
        <w:rPr>
          <w:b/>
        </w:rPr>
        <w:t xml:space="preserve"> №</w:t>
      </w:r>
      <w:r w:rsidR="0031573D">
        <w:rPr>
          <w:b/>
        </w:rPr>
        <w:t> </w:t>
      </w:r>
      <w:r w:rsidR="00AB5F3F">
        <w:rPr>
          <w:b/>
        </w:rPr>
        <w:t>27</w:t>
      </w:r>
      <w:r w:rsidR="0031573D" w:rsidRPr="0031573D">
        <w:rPr>
          <w:b/>
        </w:rPr>
        <w:t>/202</w:t>
      </w:r>
      <w:r w:rsidR="00AB5F3F">
        <w:rPr>
          <w:b/>
        </w:rPr>
        <w:t>3</w:t>
      </w:r>
      <w:r w:rsidR="0031573D" w:rsidRPr="0031573D">
        <w:rPr>
          <w:b/>
        </w:rPr>
        <w:t>-</w:t>
      </w:r>
      <w:r w:rsidR="00AB5F3F">
        <w:rPr>
          <w:b/>
        </w:rPr>
        <w:t>400</w:t>
      </w:r>
      <w:r w:rsidR="0031573D" w:rsidRPr="0031573D">
        <w:rPr>
          <w:b/>
        </w:rPr>
        <w:t xml:space="preserve"> "О бюджете МО ГО "Сыктывкар" на 202</w:t>
      </w:r>
      <w:r w:rsidR="00AB5F3F">
        <w:rPr>
          <w:b/>
        </w:rPr>
        <w:t>4</w:t>
      </w:r>
      <w:r w:rsidR="0031573D" w:rsidRPr="0031573D">
        <w:rPr>
          <w:b/>
        </w:rPr>
        <w:t xml:space="preserve"> год и плановый период 202</w:t>
      </w:r>
      <w:r w:rsidR="00AB5F3F">
        <w:rPr>
          <w:b/>
        </w:rPr>
        <w:t>5</w:t>
      </w:r>
      <w:r w:rsidR="0031573D" w:rsidRPr="0031573D">
        <w:rPr>
          <w:b/>
        </w:rPr>
        <w:t xml:space="preserve"> и 202</w:t>
      </w:r>
      <w:r w:rsidR="00AB5F3F">
        <w:rPr>
          <w:b/>
        </w:rPr>
        <w:t>6</w:t>
      </w:r>
      <w:r w:rsidR="0031573D" w:rsidRPr="0031573D">
        <w:rPr>
          <w:b/>
        </w:rPr>
        <w:t xml:space="preserve"> годов"</w:t>
      </w:r>
    </w:p>
    <w:p w:rsidR="00DE3D37" w:rsidRPr="00766A21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766A21">
        <w:t xml:space="preserve">Проектом решения предусмотрено </w:t>
      </w:r>
      <w:r w:rsidR="00766A21" w:rsidRPr="00766A21">
        <w:t>изменение основных характеристик</w:t>
      </w:r>
      <w:r w:rsidRPr="00766A21">
        <w:t xml:space="preserve"> бюджета</w:t>
      </w:r>
      <w:r w:rsidR="00766A21" w:rsidRPr="00766A21">
        <w:t xml:space="preserve"> на 2025 год</w:t>
      </w:r>
      <w:r w:rsidRPr="00766A21">
        <w:t>:</w:t>
      </w:r>
    </w:p>
    <w:p w:rsidR="00DE3D37" w:rsidRPr="00766A21" w:rsidRDefault="00766A21" w:rsidP="00DA71EE">
      <w:pPr>
        <w:autoSpaceDE w:val="0"/>
        <w:autoSpaceDN w:val="0"/>
        <w:adjustRightInd w:val="0"/>
        <w:spacing w:line="233" w:lineRule="auto"/>
        <w:jc w:val="both"/>
      </w:pPr>
      <w:r w:rsidRPr="00766A21">
        <w:t>доходы – увеличение</w:t>
      </w:r>
      <w:r w:rsidR="00DE3D37" w:rsidRPr="00766A21">
        <w:t xml:space="preserve"> с </w:t>
      </w:r>
      <w:r w:rsidR="008E68B3" w:rsidRPr="00766A21">
        <w:t xml:space="preserve">15 341 653,3 </w:t>
      </w:r>
      <w:r w:rsidRPr="00766A21">
        <w:t xml:space="preserve">до 15 360 218,9 </w:t>
      </w:r>
      <w:r w:rsidR="00DE3D37" w:rsidRPr="00766A21">
        <w:t>тыс. рублей (+</w:t>
      </w:r>
      <w:r w:rsidRPr="00766A21">
        <w:t>18 565,6</w:t>
      </w:r>
      <w:r w:rsidR="00DE3D37" w:rsidRPr="00766A21">
        <w:t xml:space="preserve"> тыс. рублей);</w:t>
      </w:r>
    </w:p>
    <w:p w:rsidR="00DE3D37" w:rsidRPr="00766A21" w:rsidRDefault="00766A21" w:rsidP="00DA71EE">
      <w:pPr>
        <w:autoSpaceDE w:val="0"/>
        <w:autoSpaceDN w:val="0"/>
        <w:adjustRightInd w:val="0"/>
        <w:spacing w:line="233" w:lineRule="auto"/>
        <w:jc w:val="both"/>
      </w:pPr>
      <w:r w:rsidRPr="00766A21">
        <w:t>расходы – увеличение</w:t>
      </w:r>
      <w:r w:rsidR="00DE3D37" w:rsidRPr="00766A21">
        <w:t xml:space="preserve"> с </w:t>
      </w:r>
      <w:r w:rsidR="008E68B3" w:rsidRPr="00766A21">
        <w:t xml:space="preserve">16 050 587,5 </w:t>
      </w:r>
      <w:r w:rsidRPr="00766A21">
        <w:t xml:space="preserve">до 16 084 153,1 </w:t>
      </w:r>
      <w:r w:rsidR="00DE3D37" w:rsidRPr="00766A21">
        <w:t>тыс. рублей (+</w:t>
      </w:r>
      <w:r w:rsidRPr="00766A21">
        <w:t>33 565,6</w:t>
      </w:r>
      <w:r w:rsidR="00AB5F3F" w:rsidRPr="00766A21">
        <w:t xml:space="preserve"> </w:t>
      </w:r>
      <w:r w:rsidR="00DE3D37" w:rsidRPr="00766A21">
        <w:t>тыс. рублей);</w:t>
      </w:r>
    </w:p>
    <w:p w:rsidR="00766A21" w:rsidRPr="00766A21" w:rsidRDefault="00766A21" w:rsidP="00DA71EE">
      <w:pPr>
        <w:autoSpaceDE w:val="0"/>
        <w:autoSpaceDN w:val="0"/>
        <w:adjustRightInd w:val="0"/>
        <w:spacing w:line="233" w:lineRule="auto"/>
        <w:jc w:val="both"/>
      </w:pPr>
      <w:r w:rsidRPr="00766A21">
        <w:rPr>
          <w:bCs/>
        </w:rPr>
        <w:t>дефицит –</w:t>
      </w:r>
      <w:r w:rsidRPr="00766A21">
        <w:t xml:space="preserve"> увеличение с 708 934,2 до 723 934,2тыс. рублей (+15 000,0 тыс. рублей);</w:t>
      </w:r>
    </w:p>
    <w:p w:rsidR="00766A21" w:rsidRPr="00766A21" w:rsidRDefault="00766A21" w:rsidP="00DA71EE">
      <w:pPr>
        <w:autoSpaceDE w:val="0"/>
        <w:autoSpaceDN w:val="0"/>
        <w:adjustRightInd w:val="0"/>
        <w:spacing w:before="60" w:line="233" w:lineRule="auto"/>
        <w:ind w:firstLine="539"/>
        <w:jc w:val="both"/>
      </w:pPr>
      <w:r w:rsidRPr="00766A21">
        <w:t xml:space="preserve">Основные характеристики бюджета (доходы, расходы, дефицит) на плановый период 2026 и 2027 годов не меняются. </w:t>
      </w:r>
    </w:p>
    <w:p w:rsidR="00DE3D37" w:rsidRPr="00766A21" w:rsidRDefault="00DE3D37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766A21">
        <w:t>Основные причины изменений, вносимых в расходную часть бюджета:</w:t>
      </w:r>
    </w:p>
    <w:p w:rsidR="00DE3D37" w:rsidRPr="00766A21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66A21">
        <w:t>- увеличение объема налоговых и неналоговых доходов;</w:t>
      </w:r>
    </w:p>
    <w:p w:rsidR="00DE3D37" w:rsidRPr="00766A21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66A21">
        <w:t xml:space="preserve">- </w:t>
      </w:r>
      <w:r w:rsidR="00EB339A" w:rsidRPr="00766A21">
        <w:t>увелич</w:t>
      </w:r>
      <w:r w:rsidRPr="00766A21">
        <w:t>ение объема безвозмездных поступлений</w:t>
      </w:r>
      <w:r w:rsidR="005771C1" w:rsidRPr="00766A21">
        <w:t>;</w:t>
      </w:r>
    </w:p>
    <w:p w:rsidR="005771C1" w:rsidRPr="00766A21" w:rsidRDefault="005771C1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66A21">
        <w:t>- у</w:t>
      </w:r>
      <w:r w:rsidR="00766A21" w:rsidRPr="00766A21">
        <w:t>меньшение</w:t>
      </w:r>
      <w:r w:rsidRPr="00766A21">
        <w:t xml:space="preserve"> объема </w:t>
      </w:r>
      <w:r w:rsidR="00766A21" w:rsidRPr="00766A21">
        <w:t>погаш</w:t>
      </w:r>
      <w:r w:rsidRPr="00766A21">
        <w:t>ения кредитов от кредитных организаций.</w:t>
      </w:r>
    </w:p>
    <w:p w:rsidR="00DE3D37" w:rsidRPr="00766A21" w:rsidRDefault="00DE3D37" w:rsidP="00DA71EE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766A21">
        <w:t xml:space="preserve">Планируемый размер дефицита бюджета не </w:t>
      </w:r>
      <w:proofErr w:type="gramStart"/>
      <w:r w:rsidRPr="00766A21">
        <w:t>противоречит требованиям пункта 3 статьи 92.1 Бюджетного кодекса Российской Федерации и в соответствии с требованиями бюджетного законодательства в полном объеме покрывается</w:t>
      </w:r>
      <w:proofErr w:type="gramEnd"/>
      <w:r w:rsidRPr="00766A21">
        <w:t xml:space="preserve"> источниками финансирования дефицита бюджета.</w:t>
      </w:r>
    </w:p>
    <w:p w:rsidR="00DC477E" w:rsidRPr="00DA71EE" w:rsidRDefault="00DA71EE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DA71EE">
        <w:t>Проектом решения планируется</w:t>
      </w:r>
      <w:r w:rsidR="00DC477E" w:rsidRPr="00DA71EE">
        <w:t xml:space="preserve"> увеличение общего объема расходов, запланированных на исполнение судебных актов по обращению взыскания на средства бюджета </w:t>
      </w:r>
      <w:r w:rsidRPr="00DA71EE">
        <w:t>на 5 135,0 тыс. рублей или 2,0 процента (с 252 185,7 до 257 320,7 тыс. рублей).</w:t>
      </w:r>
    </w:p>
    <w:p w:rsidR="00DA71EE" w:rsidRPr="00DA71EE" w:rsidRDefault="00DA71EE" w:rsidP="00DA71EE">
      <w:pPr>
        <w:autoSpaceDE w:val="0"/>
        <w:autoSpaceDN w:val="0"/>
        <w:adjustRightInd w:val="0"/>
        <w:spacing w:before="60" w:line="233" w:lineRule="auto"/>
        <w:ind w:firstLine="567"/>
        <w:jc w:val="both"/>
      </w:pPr>
      <w:r w:rsidRPr="00DA71EE">
        <w:t>Проектом решения планируется увеличение в 2025 году объема бюджетных ассигнований муниципального дорожного фонда МО ГО "Сыктывкар" на 10 000,0 тыс. рублей с 690 801,8 до 700 801,8 тыс. рублей</w:t>
      </w:r>
      <w:r>
        <w:t>.</w:t>
      </w:r>
    </w:p>
    <w:p w:rsidR="00DA71EE" w:rsidRPr="00DA71EE" w:rsidRDefault="00DA71EE" w:rsidP="00DA71EE">
      <w:pPr>
        <w:spacing w:line="233" w:lineRule="auto"/>
        <w:ind w:firstLine="567"/>
        <w:jc w:val="both"/>
      </w:pPr>
      <w:r w:rsidRPr="00DA71EE">
        <w:t xml:space="preserve">Проектом решения планируется </w:t>
      </w:r>
      <w:r w:rsidRPr="00C42545">
        <w:t xml:space="preserve">увеличение в 2025-2026 </w:t>
      </w:r>
      <w:proofErr w:type="gramStart"/>
      <w:r w:rsidRPr="00C42545">
        <w:t>годах</w:t>
      </w:r>
      <w:proofErr w:type="gramEnd"/>
      <w:r w:rsidRPr="00DA71EE">
        <w:rPr>
          <w:b/>
        </w:rPr>
        <w:t xml:space="preserve"> </w:t>
      </w:r>
      <w:r w:rsidRPr="00DA71EE">
        <w:t>объема бюджетных ассигнований</w:t>
      </w:r>
      <w:r w:rsidRPr="00DA71EE">
        <w:rPr>
          <w:b/>
        </w:rPr>
        <w:t xml:space="preserve"> </w:t>
      </w:r>
      <w:r w:rsidRPr="00DA71EE">
        <w:t xml:space="preserve">на </w:t>
      </w:r>
      <w:r w:rsidRPr="00DA71EE">
        <w:rPr>
          <w:i/>
        </w:rPr>
        <w:t>реализацию инвестиционных проектов</w:t>
      </w:r>
      <w:r w:rsidRPr="00DA71EE">
        <w:t>, финансируемых за счет бюджетных средств:</w:t>
      </w:r>
    </w:p>
    <w:p w:rsidR="00DA71EE" w:rsidRPr="00DA71EE" w:rsidRDefault="00DA71EE" w:rsidP="00DA71EE">
      <w:pPr>
        <w:spacing w:line="233" w:lineRule="auto"/>
        <w:ind w:firstLine="567"/>
        <w:jc w:val="both"/>
      </w:pPr>
      <w:r w:rsidRPr="00DA71EE">
        <w:t>2025 год – на 771,6 тыс. рублей (с 1 123 101,3 до 1 123 872,9 тыс. рублей);</w:t>
      </w:r>
    </w:p>
    <w:p w:rsidR="00DA71EE" w:rsidRPr="00DA71EE" w:rsidRDefault="00DA71EE" w:rsidP="00DA71EE">
      <w:pPr>
        <w:spacing w:line="233" w:lineRule="auto"/>
        <w:ind w:firstLine="567"/>
        <w:jc w:val="both"/>
        <w:rPr>
          <w:bCs/>
        </w:rPr>
      </w:pPr>
      <w:r w:rsidRPr="00DA71EE">
        <w:rPr>
          <w:bCs/>
        </w:rPr>
        <w:t>2026 год – на 9 665,0 тыс. рублей (с 652 190,4 до 661 855,4 тыс. рублей)</w:t>
      </w:r>
      <w:r>
        <w:rPr>
          <w:bCs/>
        </w:rPr>
        <w:t>.</w:t>
      </w:r>
    </w:p>
    <w:p w:rsidR="00DA71EE" w:rsidRPr="00DA71EE" w:rsidRDefault="00DA71EE" w:rsidP="00DA71EE">
      <w:pPr>
        <w:spacing w:line="233" w:lineRule="auto"/>
        <w:ind w:firstLine="567"/>
        <w:jc w:val="both"/>
        <w:rPr>
          <w:bCs/>
        </w:rPr>
      </w:pPr>
      <w:r w:rsidRPr="00DA71EE">
        <w:rPr>
          <w:bCs/>
        </w:rPr>
        <w:t>В перечень инвестиционных проектов планируется внести следующие изменения:</w:t>
      </w:r>
    </w:p>
    <w:p w:rsidR="00DA71EE" w:rsidRPr="00DA71EE" w:rsidRDefault="00DA71EE" w:rsidP="00DA71EE">
      <w:pPr>
        <w:spacing w:line="233" w:lineRule="auto"/>
        <w:ind w:firstLine="567"/>
        <w:jc w:val="both"/>
        <w:rPr>
          <w:bCs/>
        </w:rPr>
      </w:pPr>
      <w:r w:rsidRPr="00DA71EE">
        <w:rPr>
          <w:bCs/>
        </w:rPr>
        <w:t xml:space="preserve">- включить инвестиционный проект </w:t>
      </w:r>
      <w:r w:rsidRPr="00DA71EE">
        <w:rPr>
          <w:bCs/>
          <w:i/>
        </w:rPr>
        <w:t xml:space="preserve">"Обеспечение мероприятий по реализации </w:t>
      </w:r>
      <w:r w:rsidRPr="00DA71EE">
        <w:rPr>
          <w:bCs/>
          <w:i/>
          <w:lang w:val="en-US"/>
        </w:rPr>
        <w:t>I</w:t>
      </w:r>
      <w:r w:rsidRPr="00DA71EE">
        <w:rPr>
          <w:bCs/>
          <w:i/>
        </w:rPr>
        <w:t xml:space="preserve"> этапа программы переселения граждан из аварийного жилищного фонда на период 2025-2030 гг."</w:t>
      </w:r>
      <w:r w:rsidRPr="00DA71EE">
        <w:rPr>
          <w:bCs/>
        </w:rPr>
        <w:t xml:space="preserve"> с финансированием в 2025 году – 3 701,6 тыс. рублей, в 2026 – 92 495,1 тыс. рублей;</w:t>
      </w:r>
    </w:p>
    <w:p w:rsidR="00ED2E4B" w:rsidRDefault="00DA71EE" w:rsidP="00ED2E4B">
      <w:pPr>
        <w:autoSpaceDE w:val="0"/>
        <w:autoSpaceDN w:val="0"/>
        <w:adjustRightInd w:val="0"/>
        <w:spacing w:line="233" w:lineRule="auto"/>
        <w:ind w:firstLine="567"/>
        <w:jc w:val="both"/>
      </w:pPr>
      <w:r w:rsidRPr="00DA71EE">
        <w:rPr>
          <w:bCs/>
        </w:rPr>
        <w:t xml:space="preserve">- </w:t>
      </w:r>
      <w:r w:rsidRPr="00DA71EE">
        <w:t>изменить объемы финансирования 7 проектов</w:t>
      </w:r>
      <w:r w:rsidRPr="00DA71EE">
        <w:rPr>
          <w:bCs/>
        </w:rPr>
        <w:t>.</w:t>
      </w:r>
      <w:r w:rsidR="00ED2E4B" w:rsidRPr="00ED2E4B">
        <w:t xml:space="preserve"> </w:t>
      </w:r>
    </w:p>
    <w:p w:rsidR="00ED2E4B" w:rsidRPr="00DA71EE" w:rsidRDefault="00ED2E4B" w:rsidP="00ED2E4B">
      <w:pPr>
        <w:autoSpaceDE w:val="0"/>
        <w:autoSpaceDN w:val="0"/>
        <w:adjustRightInd w:val="0"/>
        <w:spacing w:before="60" w:line="233" w:lineRule="auto"/>
        <w:ind w:firstLine="567"/>
        <w:jc w:val="both"/>
        <w:rPr>
          <w:bCs/>
        </w:rPr>
      </w:pPr>
      <w:r w:rsidRPr="00DA71EE">
        <w:t xml:space="preserve">Проектом решения предлагается уменьшить в 2025 году объем погашения кредитов от кредитных организаций на 15 000,0 тыс. рублей, при этом </w:t>
      </w:r>
      <w:r w:rsidRPr="00DA71EE">
        <w:rPr>
          <w:bCs/>
        </w:rPr>
        <w:t xml:space="preserve">расходы на обслуживание муниципального долга </w:t>
      </w:r>
      <w:r w:rsidRPr="00DA71EE">
        <w:t>сократить</w:t>
      </w:r>
      <w:r w:rsidRPr="00DA71EE">
        <w:rPr>
          <w:bCs/>
        </w:rPr>
        <w:t xml:space="preserve"> на 20 000,0 тыс. рублей. </w:t>
      </w:r>
    </w:p>
    <w:p w:rsidR="00ED2E4B" w:rsidRPr="00DA71EE" w:rsidRDefault="00ED2E4B" w:rsidP="00ED2E4B">
      <w:pPr>
        <w:spacing w:line="233" w:lineRule="auto"/>
        <w:ind w:firstLine="567"/>
        <w:jc w:val="both"/>
      </w:pPr>
      <w:r w:rsidRPr="00DA71EE">
        <w:t>В связи с уменьшением объема погашения кредитов от кредитных организаций Проектом решения предлагается увеличить плановые значения верхнего предела муниципального долга по итогам 2025-2027 годов на 15 000,0 тыс. рублей:</w:t>
      </w:r>
    </w:p>
    <w:p w:rsidR="00ED2E4B" w:rsidRPr="00DA71EE" w:rsidRDefault="00ED2E4B" w:rsidP="00ED2E4B">
      <w:pPr>
        <w:spacing w:line="233" w:lineRule="auto"/>
        <w:ind w:firstLine="567"/>
        <w:jc w:val="both"/>
      </w:pPr>
      <w:r w:rsidRPr="00DA71EE">
        <w:t>по состоянию на 1 января 2026 года с 2 250 535,2 до 2 265 535,2 тыс. рублей;</w:t>
      </w:r>
    </w:p>
    <w:p w:rsidR="00ED2E4B" w:rsidRPr="00DA71EE" w:rsidRDefault="00ED2E4B" w:rsidP="00ED2E4B">
      <w:pPr>
        <w:spacing w:line="233" w:lineRule="auto"/>
        <w:ind w:firstLine="567"/>
        <w:jc w:val="both"/>
      </w:pPr>
      <w:r w:rsidRPr="00DA71EE">
        <w:t>по состоянию на 1 января 2027 года с 2 790 169,5 до 2 805 169,5 тыс. рублей;</w:t>
      </w:r>
    </w:p>
    <w:p w:rsidR="00ED2E4B" w:rsidRPr="00DA71EE" w:rsidRDefault="00ED2E4B" w:rsidP="00ED2E4B">
      <w:pPr>
        <w:spacing w:line="233" w:lineRule="auto"/>
        <w:ind w:firstLine="567"/>
        <w:jc w:val="both"/>
      </w:pPr>
      <w:r w:rsidRPr="00DA71EE">
        <w:t>по состоянию на 1 января 2028 года с 3 334 593,9 до 3 349 593,9 тыс. рублей.</w:t>
      </w:r>
    </w:p>
    <w:p w:rsidR="00FC2885" w:rsidRDefault="00ED2E4B" w:rsidP="00DA71EE">
      <w:pPr>
        <w:spacing w:line="233" w:lineRule="auto"/>
        <w:ind w:firstLine="567"/>
        <w:jc w:val="both"/>
      </w:pPr>
      <w:r w:rsidRPr="00DA71EE">
        <w:t>С учетом источников финансирования дефицита бюджета соблюден принцип сбалансированности по доходам и по расходам в соответствии с требованиями статьи 33 Бюджетного кодекса Российской Федерации.</w:t>
      </w:r>
    </w:p>
    <w:p w:rsidR="005A64B8" w:rsidRDefault="005A64B8" w:rsidP="005A64B8">
      <w:pPr>
        <w:autoSpaceDE w:val="0"/>
        <w:autoSpaceDN w:val="0"/>
        <w:adjustRightInd w:val="0"/>
        <w:spacing w:before="60"/>
        <w:ind w:firstLine="567"/>
        <w:jc w:val="both"/>
        <w:rPr>
          <w:b/>
          <w:color w:val="0070C0"/>
        </w:rPr>
      </w:pPr>
      <w:r w:rsidRPr="005C7480">
        <w:rPr>
          <w:b/>
          <w:spacing w:val="-6"/>
        </w:rPr>
        <w:lastRenderedPageBreak/>
        <w:t xml:space="preserve">"О внесении изменений в решение Совета МО ГО "Сыктывкар" от 16.11.2010 </w:t>
      </w:r>
      <w:r w:rsidRPr="005C7480">
        <w:rPr>
          <w:b/>
          <w:spacing w:val="-6"/>
        </w:rPr>
        <w:br/>
        <w:t>№ 35/11-600 "Об утверждении Правил создания, охраны и содержания зеленых насаждений на территории муниципального образования городского округа "Сыктывкар" и Методики оценки компенсационных выплат за рубку (повреждение) зеленых насаждений на территории муниципального образования городского округа "Сыктывкар"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</w:pPr>
      <w:r>
        <w:t>Проект решения не предусматривает положений о</w:t>
      </w:r>
      <w:r w:rsidRPr="00595F2B">
        <w:t xml:space="preserve"> формировани</w:t>
      </w:r>
      <w:r>
        <w:t>и</w:t>
      </w:r>
      <w:r w:rsidRPr="00595F2B">
        <w:t xml:space="preserve"> отчетности</w:t>
      </w:r>
      <w:r>
        <w:t>,</w:t>
      </w:r>
      <w:r w:rsidRPr="00595F2B">
        <w:t xml:space="preserve"> позволяющей оценить своевременность и полноту исполнения планов озеленения города</w:t>
      </w:r>
      <w:r>
        <w:t>.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</w:pPr>
      <w:r>
        <w:t xml:space="preserve">На необходимость утверждения таких положений Палата указывала в </w:t>
      </w:r>
      <w:proofErr w:type="gramStart"/>
      <w:r>
        <w:t>отчете</w:t>
      </w:r>
      <w:proofErr w:type="gramEnd"/>
      <w:r>
        <w:t xml:space="preserve"> от 25.10.2024 п</w:t>
      </w:r>
      <w:r w:rsidRPr="0074317D">
        <w:t xml:space="preserve">о результатам </w:t>
      </w:r>
      <w:r w:rsidRPr="00CD63EE">
        <w:rPr>
          <w:i/>
        </w:rPr>
        <w:t xml:space="preserve">проверки </w:t>
      </w:r>
      <w:r w:rsidRPr="00CD63EE">
        <w:rPr>
          <w:rFonts w:eastAsia="Calibri"/>
          <w:i/>
        </w:rPr>
        <w:t>бюджетных расходов на озеленение и содержание зеленых насаждений, анализ достигнутых результатов</w:t>
      </w:r>
      <w:r w:rsidRPr="0007558B">
        <w:t>.</w:t>
      </w:r>
      <w:r>
        <w:t xml:space="preserve"> </w:t>
      </w:r>
    </w:p>
    <w:p w:rsidR="005A64B8" w:rsidRDefault="005A64B8" w:rsidP="005A64B8">
      <w:pPr>
        <w:tabs>
          <w:tab w:val="left" w:pos="851"/>
          <w:tab w:val="left" w:pos="993"/>
        </w:tabs>
        <w:autoSpaceDE w:val="0"/>
        <w:autoSpaceDN w:val="0"/>
        <w:adjustRightInd w:val="0"/>
        <w:spacing w:line="233" w:lineRule="auto"/>
        <w:ind w:firstLine="567"/>
        <w:jc w:val="both"/>
      </w:pPr>
      <w:r>
        <w:t>Отсутствие положений о</w:t>
      </w:r>
      <w:r w:rsidRPr="0007558B">
        <w:t xml:space="preserve"> формировани</w:t>
      </w:r>
      <w:r>
        <w:t xml:space="preserve">и отчетности об </w:t>
      </w:r>
      <w:r w:rsidRPr="0007558B">
        <w:t>исполнени</w:t>
      </w:r>
      <w:r>
        <w:t>и</w:t>
      </w:r>
      <w:r w:rsidRPr="0007558B">
        <w:t xml:space="preserve"> планов озеленения привело к отсутствию контроля и </w:t>
      </w:r>
      <w:proofErr w:type="gramStart"/>
      <w:r w:rsidRPr="0007558B">
        <w:t>не исполнению</w:t>
      </w:r>
      <w:proofErr w:type="gramEnd"/>
      <w:r w:rsidRPr="0007558B">
        <w:t xml:space="preserve"> план</w:t>
      </w:r>
      <w:r>
        <w:t>о</w:t>
      </w:r>
      <w:r w:rsidRPr="0007558B">
        <w:t>в озеленения.</w:t>
      </w:r>
      <w:r>
        <w:t xml:space="preserve"> </w:t>
      </w:r>
    </w:p>
    <w:p w:rsidR="005A64B8" w:rsidRDefault="005A64B8" w:rsidP="005A64B8">
      <w:pPr>
        <w:tabs>
          <w:tab w:val="left" w:pos="851"/>
          <w:tab w:val="left" w:pos="993"/>
        </w:tabs>
        <w:autoSpaceDE w:val="0"/>
        <w:autoSpaceDN w:val="0"/>
        <w:adjustRightInd w:val="0"/>
        <w:spacing w:line="233" w:lineRule="auto"/>
        <w:ind w:firstLine="567"/>
        <w:jc w:val="both"/>
      </w:pPr>
      <w:r>
        <w:t>Так в 2023 году и в первом полугодии 2024 года ф</w:t>
      </w:r>
      <w:r w:rsidRPr="00D4286C">
        <w:t>актически осуществлено меньшее количество посадок, чем предусмотрено п</w:t>
      </w:r>
      <w:r>
        <w:t>ланами озеленения города:</w:t>
      </w:r>
    </w:p>
    <w:p w:rsidR="005A64B8" w:rsidRDefault="005A64B8" w:rsidP="005A64B8">
      <w:pPr>
        <w:tabs>
          <w:tab w:val="left" w:pos="851"/>
          <w:tab w:val="left" w:pos="993"/>
        </w:tabs>
        <w:autoSpaceDE w:val="0"/>
        <w:autoSpaceDN w:val="0"/>
        <w:adjustRightInd w:val="0"/>
        <w:spacing w:line="233" w:lineRule="auto"/>
        <w:ind w:firstLine="567"/>
        <w:jc w:val="both"/>
      </w:pPr>
      <w:r>
        <w:t>- о</w:t>
      </w:r>
      <w:r w:rsidRPr="00D4286C">
        <w:t xml:space="preserve">зеленение </w:t>
      </w:r>
      <w:r>
        <w:t>двух</w:t>
      </w:r>
      <w:r w:rsidRPr="00D4286C">
        <w:t xml:space="preserve"> объектов, предусмотренных планом озеленения города в 2023 году</w:t>
      </w:r>
      <w:r>
        <w:t>,</w:t>
      </w:r>
      <w:r w:rsidRPr="00D4286C">
        <w:t xml:space="preserve"> фактически осуществлялось в 2024</w:t>
      </w:r>
      <w:r>
        <w:t xml:space="preserve"> году;</w:t>
      </w:r>
    </w:p>
    <w:p w:rsidR="005A64B8" w:rsidRPr="00D4286C" w:rsidRDefault="005A64B8" w:rsidP="005A64B8">
      <w:pPr>
        <w:tabs>
          <w:tab w:val="left" w:pos="993"/>
        </w:tabs>
        <w:ind w:firstLine="567"/>
        <w:jc w:val="both"/>
        <w:rPr>
          <w:rFonts w:eastAsia="Calibri"/>
        </w:rPr>
      </w:pPr>
      <w:r>
        <w:rPr>
          <w:rFonts w:eastAsia="Calibri"/>
          <w:color w:val="000000"/>
        </w:rPr>
        <w:t xml:space="preserve">- по четырем объектам, </w:t>
      </w:r>
      <w:proofErr w:type="gramStart"/>
      <w:r>
        <w:rPr>
          <w:rFonts w:eastAsia="Calibri"/>
          <w:color w:val="000000"/>
        </w:rPr>
        <w:t>предусмотренных</w:t>
      </w:r>
      <w:proofErr w:type="gramEnd"/>
      <w:r>
        <w:rPr>
          <w:rFonts w:eastAsia="Calibri"/>
          <w:color w:val="000000"/>
        </w:rPr>
        <w:t xml:space="preserve"> к озеленению в 2024 году закупки не были осуществлены.</w:t>
      </w:r>
    </w:p>
    <w:p w:rsidR="005A64B8" w:rsidRDefault="005A64B8" w:rsidP="005A64B8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line="233" w:lineRule="auto"/>
        <w:ind w:firstLine="567"/>
        <w:jc w:val="both"/>
      </w:pPr>
      <w:r>
        <w:t>В Совет города взамен внесен проект решения, в котором учтены соответствующие рекомендации Контрольно-счетной палаты.</w:t>
      </w:r>
    </w:p>
    <w:p w:rsidR="005A64B8" w:rsidRDefault="005A64B8" w:rsidP="005A64B8">
      <w:pPr>
        <w:autoSpaceDE w:val="0"/>
        <w:autoSpaceDN w:val="0"/>
        <w:adjustRightInd w:val="0"/>
        <w:spacing w:before="60"/>
        <w:ind w:firstLine="567"/>
        <w:jc w:val="both"/>
        <w:rPr>
          <w:b/>
          <w:spacing w:val="-6"/>
        </w:rPr>
      </w:pPr>
    </w:p>
    <w:p w:rsidR="005A64B8" w:rsidRPr="007E6431" w:rsidRDefault="005A64B8" w:rsidP="005A64B8">
      <w:pPr>
        <w:autoSpaceDE w:val="0"/>
        <w:autoSpaceDN w:val="0"/>
        <w:adjustRightInd w:val="0"/>
        <w:spacing w:before="60"/>
        <w:ind w:firstLine="567"/>
        <w:jc w:val="both"/>
        <w:rPr>
          <w:b/>
          <w:spacing w:val="-6"/>
        </w:rPr>
      </w:pPr>
      <w:r w:rsidRPr="007E6431">
        <w:rPr>
          <w:b/>
          <w:spacing w:val="-6"/>
        </w:rPr>
        <w:t>"Об установлении тарифов на услуги бань МУП "Сыктывкарский банно-прачечный трест" на 2026 год"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>Проектом решения предлагается установить на 2026 год тарифы на услуги бань на уровне тарифов, утвержденных с 01.07.2024. Таким образом, тарифы на услуги бань не предполагаются к изменению в течение 2,5 лет.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 xml:space="preserve">Согласно финансово-экономическому обоснованию к Проекту решения за 2026 год ожидается убыток предприятия от деятельности бань в </w:t>
      </w:r>
      <w:proofErr w:type="gramStart"/>
      <w:r w:rsidRPr="007E6431">
        <w:t>размере</w:t>
      </w:r>
      <w:proofErr w:type="gramEnd"/>
      <w:r w:rsidRPr="007E6431">
        <w:t xml:space="preserve"> 53,6 млн. рублей, который не покрывается субсидией из бюджета МО ГО "Сыктывкар" (37,0 млн. рублей) и по итогам года составит – 16,6 млн. рублей. 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 xml:space="preserve">При этом в 2025 году субсидия на услуги бань составила 44,2 млн. рублей, что на 7,2 млн. рублей больше, чем предполагается в 2026 году. Убыток предприятия по итогам 2025 года ожидается в </w:t>
      </w:r>
      <w:proofErr w:type="gramStart"/>
      <w:r w:rsidRPr="007E6431">
        <w:t>размере</w:t>
      </w:r>
      <w:proofErr w:type="gramEnd"/>
      <w:r w:rsidRPr="007E6431">
        <w:t xml:space="preserve"> 0,4 млн. рублей.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 xml:space="preserve">Таким образом, в связи с отсутствием иных источников покрытия убытков предприятия, размер субсидии, запланированный на 2026 год, представляется недостаточным. 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</w:pPr>
    </w:p>
    <w:p w:rsidR="005A64B8" w:rsidRPr="007E6431" w:rsidRDefault="005A64B8" w:rsidP="005A64B8">
      <w:pPr>
        <w:autoSpaceDE w:val="0"/>
        <w:autoSpaceDN w:val="0"/>
        <w:adjustRightInd w:val="0"/>
        <w:spacing w:before="60"/>
        <w:ind w:firstLine="567"/>
        <w:jc w:val="both"/>
        <w:rPr>
          <w:b/>
          <w:spacing w:val="-6"/>
        </w:rPr>
      </w:pPr>
      <w:r w:rsidRPr="007E6431">
        <w:rPr>
          <w:b/>
          <w:spacing w:val="-6"/>
        </w:rPr>
        <w:t>"Об установлении тарифов на услуги бань ЭМУП "</w:t>
      </w:r>
      <w:proofErr w:type="spellStart"/>
      <w:r w:rsidRPr="007E6431">
        <w:rPr>
          <w:b/>
          <w:spacing w:val="-6"/>
        </w:rPr>
        <w:t>Жилкомхоз</w:t>
      </w:r>
      <w:proofErr w:type="spellEnd"/>
      <w:r w:rsidRPr="007E6431">
        <w:rPr>
          <w:b/>
          <w:spacing w:val="-6"/>
        </w:rPr>
        <w:t>" на 2026 год"</w:t>
      </w:r>
    </w:p>
    <w:p w:rsidR="005A64B8" w:rsidRDefault="005A64B8" w:rsidP="005A64B8">
      <w:pPr>
        <w:pStyle w:val="a6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7E6431">
        <w:t>В нарушение требования статьи 32 Регламента работы Совета МО ГО "Сыктывкар", утвержденного решением Совета МО ГО "Сыктывкар" от 27.02.2007 № 33/02-578, к Проекту решения не приложено финансово-экономическое обоснование, содержащее финансово-экономическую оценку проекта решения, принятие и дальнейшая реализация которого может оказывать влияние на изменение доходной и расходной части бюджета муниципального образования</w:t>
      </w:r>
      <w:r>
        <w:t xml:space="preserve"> городского округа "Сыктывкар".</w:t>
      </w:r>
      <w:proofErr w:type="gramEnd"/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>
        <w:t xml:space="preserve">По итогам рассмотрения заключения Палаты к Проекту решения приложено </w:t>
      </w:r>
      <w:r w:rsidRPr="007E6431">
        <w:t>финансово-экономическое обоснование</w:t>
      </w:r>
      <w:r>
        <w:t>.</w:t>
      </w:r>
    </w:p>
    <w:p w:rsidR="005A64B8" w:rsidRPr="007E6431" w:rsidRDefault="005A64B8" w:rsidP="005A64B8">
      <w:pPr>
        <w:pStyle w:val="a6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</w:pPr>
      <w:r w:rsidRPr="007E6431">
        <w:t>Проектом решения предлагается установить на 2026 год тарифы на услуги бань на уровне тарифов, утвержденных с 01.07.2024. Таким образом, тарифы на услуги бань не предполагаются к изменению в течение 2,5 лет.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lastRenderedPageBreak/>
        <w:t xml:space="preserve">Согласно пояснительной записке к Проекту решения за 2026 год ожидаются недополученные доходы предприятия от деятельности бань в размере 5,2 млн. рублей, которые не покрываются субсидией из бюджета МО ГО "Сыктывкар" (3,7 млн. рублей) и по итогам года составят – 1,5 млн. рублей. 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 xml:space="preserve">При этом в 2025 году субсидия на услуги бань составила 4,0 млн. рублей, что на 0,3 млн. рублей больше, чем предполагается в 2026 году. 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</w:pPr>
      <w:r w:rsidRPr="007E6431">
        <w:t>Таким образом, вызывает сомнение достаточность объема субсидии, запланированного на 2026 год.</w:t>
      </w:r>
    </w:p>
    <w:p w:rsidR="005A64B8" w:rsidRPr="007E6431" w:rsidRDefault="005A64B8" w:rsidP="005A64B8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5A64B8" w:rsidRPr="00CB2F60" w:rsidRDefault="005A64B8" w:rsidP="005A64B8">
      <w:pPr>
        <w:autoSpaceDE w:val="0"/>
        <w:autoSpaceDN w:val="0"/>
        <w:adjustRightInd w:val="0"/>
        <w:spacing w:before="60"/>
        <w:ind w:firstLine="567"/>
        <w:jc w:val="both"/>
        <w:rPr>
          <w:b/>
          <w:spacing w:val="-6"/>
        </w:rPr>
      </w:pPr>
      <w:r w:rsidRPr="00CB2F60">
        <w:rPr>
          <w:b/>
          <w:spacing w:val="-6"/>
        </w:rPr>
        <w:t>"О внесении изменений в решение Совета МО ГО "Сыктывкар" от 05.12.2024 № 35/2024-496 "Об утверждении прогнозного плана (программы) приватизации</w:t>
      </w:r>
      <w:r>
        <w:rPr>
          <w:b/>
          <w:spacing w:val="-6"/>
        </w:rPr>
        <w:t xml:space="preserve"> </w:t>
      </w:r>
      <w:r w:rsidRPr="00CB2F60">
        <w:rPr>
          <w:b/>
          <w:spacing w:val="-6"/>
        </w:rPr>
        <w:t>муниципального имущества на 2025 год"</w:t>
      </w:r>
    </w:p>
    <w:p w:rsidR="005A64B8" w:rsidRPr="00CB2F60" w:rsidRDefault="005A64B8" w:rsidP="005A64B8">
      <w:pPr>
        <w:autoSpaceDE w:val="0"/>
        <w:autoSpaceDN w:val="0"/>
        <w:adjustRightInd w:val="0"/>
        <w:ind w:firstLine="567"/>
        <w:jc w:val="both"/>
      </w:pPr>
      <w:r w:rsidRPr="00CB2F60">
        <w:t>Проектом решения предлагается:</w:t>
      </w:r>
    </w:p>
    <w:p w:rsidR="005A64B8" w:rsidRPr="00CB2F60" w:rsidRDefault="005A64B8" w:rsidP="005A64B8">
      <w:pPr>
        <w:autoSpaceDE w:val="0"/>
        <w:autoSpaceDN w:val="0"/>
        <w:adjustRightInd w:val="0"/>
        <w:ind w:firstLine="567"/>
        <w:jc w:val="both"/>
      </w:pPr>
      <w:r>
        <w:t>- и</w:t>
      </w:r>
      <w:r w:rsidRPr="00CB2F60">
        <w:t xml:space="preserve">сключить один объект из перечня объектов, подлежащих приватизации, </w:t>
      </w:r>
      <w:r w:rsidRPr="0040191A">
        <w:t>в связи с рассмотрением возможности использования земельного участка для муниципальных нужд</w:t>
      </w:r>
      <w:r>
        <w:t>;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</w:pPr>
      <w:r>
        <w:t>- о</w:t>
      </w:r>
      <w:r w:rsidRPr="00CB2F60">
        <w:t>ткорректировать</w:t>
      </w:r>
      <w:r w:rsidRPr="0085609B">
        <w:t xml:space="preserve"> предполагаемые сроки приватизации нереализованных в </w:t>
      </w:r>
      <w:r>
        <w:t>3</w:t>
      </w:r>
      <w:r w:rsidRPr="0085609B">
        <w:t> квартале объектов недвижимого имущества</w:t>
      </w:r>
      <w:r>
        <w:t xml:space="preserve"> (на момент подготовки заключения </w:t>
      </w:r>
      <w:r w:rsidRPr="00E40AC6">
        <w:t xml:space="preserve">реализовано </w:t>
      </w:r>
      <w:r>
        <w:t>3</w:t>
      </w:r>
      <w:r w:rsidRPr="00E40AC6">
        <w:t xml:space="preserve"> объект</w:t>
      </w:r>
      <w:r>
        <w:t>а</w:t>
      </w:r>
      <w:r w:rsidRPr="00E40AC6">
        <w:t xml:space="preserve"> недвижимого имущества, </w:t>
      </w:r>
      <w:r>
        <w:t xml:space="preserve">поступления от реализации в 2025 году </w:t>
      </w:r>
      <w:r w:rsidRPr="00E40AC6">
        <w:t>составил</w:t>
      </w:r>
      <w:r>
        <w:t>и</w:t>
      </w:r>
      <w:r w:rsidRPr="00E40AC6">
        <w:t xml:space="preserve"> </w:t>
      </w:r>
      <w:r>
        <w:t>4,5 млн. </w:t>
      </w:r>
      <w:r w:rsidRPr="00E40AC6">
        <w:t>рублей</w:t>
      </w:r>
      <w:r>
        <w:t>);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</w:pPr>
      <w:r>
        <w:t>- о</w:t>
      </w:r>
      <w:r w:rsidRPr="00DA05E0">
        <w:t>ткорректировать</w:t>
      </w:r>
      <w:r>
        <w:t xml:space="preserve"> ожидаемые поступления в бюджет МО ГО "Сыктывкар" доходов от приватизации муниципального имущества.</w:t>
      </w:r>
      <w:r w:rsidRPr="005B53E9">
        <w:t xml:space="preserve"> </w:t>
      </w:r>
    </w:p>
    <w:p w:rsidR="005A64B8" w:rsidRDefault="005A64B8" w:rsidP="005A64B8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4117FB">
        <w:t>Общий прогнозируемый доход от приватизации муниципального имущества в 202</w:t>
      </w:r>
      <w:r>
        <w:t>5 году</w:t>
      </w:r>
      <w:r w:rsidRPr="004117FB">
        <w:t xml:space="preserve"> с учетом предлагаемых изменений</w:t>
      </w:r>
      <w:r>
        <w:t xml:space="preserve"> уменьшится на 16,9 млн. рублей и </w:t>
      </w:r>
      <w:r w:rsidRPr="004117FB">
        <w:t xml:space="preserve">составит </w:t>
      </w:r>
      <w:r>
        <w:t>30,7</w:t>
      </w:r>
      <w:r w:rsidRPr="004117FB">
        <w:t xml:space="preserve"> млн. рублей (в том числе от продажи земельных участков под отдельно стоящими зданиями в объеме </w:t>
      </w:r>
      <w:r>
        <w:t>16,3</w:t>
      </w:r>
      <w:r w:rsidRPr="004117FB">
        <w:t xml:space="preserve"> млн. рублей).</w:t>
      </w:r>
      <w:r>
        <w:t xml:space="preserve"> </w:t>
      </w:r>
    </w:p>
    <w:p w:rsidR="005A64B8" w:rsidRDefault="005A64B8" w:rsidP="005A64B8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>
        <w:t>При этом, согласно финансово-экономическому обоснованию к проекту решения, 7 из 10 объектов подлежат включению в прогнозный план приватизации на 2026 год в качестве переходящих, поскольку:</w:t>
      </w:r>
    </w:p>
    <w:p w:rsidR="005A64B8" w:rsidRDefault="005A64B8" w:rsidP="005A64B8">
      <w:pPr>
        <w:pStyle w:val="a9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567"/>
        <w:jc w:val="both"/>
      </w:pPr>
      <w:r>
        <w:t xml:space="preserve">- по 3 объектам торги будут </w:t>
      </w:r>
      <w:proofErr w:type="gramStart"/>
      <w:r>
        <w:t>проводится</w:t>
      </w:r>
      <w:proofErr w:type="gramEnd"/>
      <w:r>
        <w:t xml:space="preserve"> в 2026 году в связи с переоценкой рыночной стоимости объектов;</w:t>
      </w:r>
    </w:p>
    <w:p w:rsidR="005A64B8" w:rsidRDefault="005A64B8" w:rsidP="005A64B8">
      <w:pPr>
        <w:pStyle w:val="a9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567"/>
        <w:jc w:val="both"/>
        <w:rPr>
          <w:b/>
          <w:spacing w:val="-6"/>
        </w:rPr>
      </w:pPr>
      <w:r>
        <w:t xml:space="preserve">- по 4 объектам торги назначены на 11.12.2025. При этом в случае состоявшихся торгов велика вероятность перечисления средств от продажи в 2026 году, так как покупателям отводится 30-дневный срок для окончательного расчета. </w:t>
      </w:r>
    </w:p>
    <w:p w:rsidR="005A64B8" w:rsidRDefault="005A64B8" w:rsidP="005A64B8">
      <w:pPr>
        <w:pStyle w:val="a9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567"/>
        <w:jc w:val="both"/>
        <w:rPr>
          <w:b/>
          <w:spacing w:val="-6"/>
        </w:rPr>
      </w:pPr>
    </w:p>
    <w:p w:rsidR="005A64B8" w:rsidRDefault="005A64B8" w:rsidP="005A64B8">
      <w:pPr>
        <w:pStyle w:val="a9"/>
        <w:tabs>
          <w:tab w:val="left" w:pos="851"/>
          <w:tab w:val="left" w:pos="993"/>
        </w:tabs>
        <w:spacing w:before="0" w:beforeAutospacing="0" w:after="0" w:afterAutospacing="0" w:line="288" w:lineRule="atLeast"/>
        <w:ind w:firstLine="567"/>
        <w:jc w:val="both"/>
        <w:rPr>
          <w:spacing w:val="-6"/>
        </w:rPr>
      </w:pPr>
      <w:r w:rsidRPr="00FE0999">
        <w:rPr>
          <w:spacing w:val="-6"/>
        </w:rPr>
        <w:t>Кроме того, Советом МО ГО "Сыктывкар" утверждено</w:t>
      </w:r>
      <w:r>
        <w:rPr>
          <w:spacing w:val="-6"/>
        </w:rPr>
        <w:t xml:space="preserve"> решение 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  <w:rPr>
          <w:spacing w:val="-6"/>
        </w:rPr>
      </w:pPr>
      <w:r>
        <w:rPr>
          <w:b/>
          <w:spacing w:val="-6"/>
        </w:rPr>
        <w:t>"</w:t>
      </w:r>
      <w:r w:rsidRPr="009877DF">
        <w:rPr>
          <w:b/>
          <w:spacing w:val="-6"/>
        </w:rPr>
        <w:t>Об утверждении Положения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</w:t>
      </w:r>
      <w:r>
        <w:rPr>
          <w:b/>
          <w:spacing w:val="-6"/>
        </w:rPr>
        <w:t xml:space="preserve"> "</w:t>
      </w:r>
      <w:r w:rsidRPr="009877DF">
        <w:rPr>
          <w:b/>
          <w:spacing w:val="-6"/>
        </w:rPr>
        <w:t>Сыктывкар</w:t>
      </w:r>
      <w:r>
        <w:rPr>
          <w:b/>
          <w:spacing w:val="-6"/>
        </w:rPr>
        <w:t xml:space="preserve">", </w:t>
      </w:r>
      <w:r w:rsidRPr="009877DF">
        <w:rPr>
          <w:spacing w:val="-6"/>
        </w:rPr>
        <w:t xml:space="preserve">в том числе порядок освобождения </w:t>
      </w:r>
      <w:r>
        <w:rPr>
          <w:spacing w:val="-6"/>
        </w:rPr>
        <w:t xml:space="preserve">муниципальных унитарных предприятий </w:t>
      </w:r>
      <w:r w:rsidRPr="009877DF">
        <w:rPr>
          <w:spacing w:val="-6"/>
        </w:rPr>
        <w:t>от перечисления части прибыли.</w:t>
      </w:r>
    </w:p>
    <w:p w:rsidR="005A64B8" w:rsidRDefault="005A64B8" w:rsidP="005A64B8">
      <w:pPr>
        <w:autoSpaceDE w:val="0"/>
        <w:autoSpaceDN w:val="0"/>
        <w:adjustRightInd w:val="0"/>
        <w:ind w:firstLine="567"/>
        <w:jc w:val="both"/>
        <w:rPr>
          <w:b/>
          <w:spacing w:val="-6"/>
        </w:rPr>
      </w:pPr>
      <w:r w:rsidRPr="009877DF">
        <w:rPr>
          <w:spacing w:val="-6"/>
        </w:rPr>
        <w:t xml:space="preserve">Таким </w:t>
      </w:r>
      <w:proofErr w:type="gramStart"/>
      <w:r w:rsidRPr="009877DF">
        <w:rPr>
          <w:spacing w:val="-6"/>
        </w:rPr>
        <w:t>образом</w:t>
      </w:r>
      <w:proofErr w:type="gramEnd"/>
      <w:r w:rsidRPr="009877DF">
        <w:rPr>
          <w:spacing w:val="-6"/>
        </w:rPr>
        <w:t xml:space="preserve"> реализованы рекомендации КСП по итогам проведения экспертизы нормативных правовых актов, проведенной в марте 2025 года.</w:t>
      </w:r>
      <w:r>
        <w:rPr>
          <w:spacing w:val="-6"/>
        </w:rPr>
        <w:t xml:space="preserve"> </w:t>
      </w:r>
    </w:p>
    <w:p w:rsidR="005A64B8" w:rsidRPr="008702D2" w:rsidRDefault="005A64B8" w:rsidP="00DA71EE">
      <w:pPr>
        <w:spacing w:line="233" w:lineRule="auto"/>
        <w:ind w:firstLine="567"/>
        <w:jc w:val="both"/>
      </w:pPr>
      <w:bookmarkStart w:id="0" w:name="_GoBack"/>
      <w:bookmarkEnd w:id="0"/>
    </w:p>
    <w:sectPr w:rsidR="005A64B8" w:rsidRPr="008702D2" w:rsidSect="00766A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6ED"/>
    <w:multiLevelType w:val="hybridMultilevel"/>
    <w:tmpl w:val="E89E9418"/>
    <w:lvl w:ilvl="0" w:tplc="7FB23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6C0D08"/>
    <w:multiLevelType w:val="hybridMultilevel"/>
    <w:tmpl w:val="7BA00A4E"/>
    <w:lvl w:ilvl="0" w:tplc="2B0A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0E68D8"/>
    <w:multiLevelType w:val="hybridMultilevel"/>
    <w:tmpl w:val="CB7AC59E"/>
    <w:lvl w:ilvl="0" w:tplc="3348B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AD5418D"/>
    <w:multiLevelType w:val="hybridMultilevel"/>
    <w:tmpl w:val="67E42192"/>
    <w:lvl w:ilvl="0" w:tplc="2C16A8D4">
      <w:start w:val="8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>
    <w:nsid w:val="65C04709"/>
    <w:multiLevelType w:val="hybridMultilevel"/>
    <w:tmpl w:val="F1362AFC"/>
    <w:lvl w:ilvl="0" w:tplc="79BA4808">
      <w:start w:val="1"/>
      <w:numFmt w:val="bullet"/>
      <w:lvlText w:val=""/>
      <w:lvlJc w:val="left"/>
      <w:pPr>
        <w:tabs>
          <w:tab w:val="num" w:pos="1498"/>
        </w:tabs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AA"/>
    <w:rsid w:val="000041B7"/>
    <w:rsid w:val="00023E2C"/>
    <w:rsid w:val="00033ECB"/>
    <w:rsid w:val="00042425"/>
    <w:rsid w:val="00051685"/>
    <w:rsid w:val="00061D15"/>
    <w:rsid w:val="00061D9E"/>
    <w:rsid w:val="0006544A"/>
    <w:rsid w:val="000660DD"/>
    <w:rsid w:val="0007277B"/>
    <w:rsid w:val="000837F5"/>
    <w:rsid w:val="00084233"/>
    <w:rsid w:val="000914EF"/>
    <w:rsid w:val="00095AF9"/>
    <w:rsid w:val="000A0C9A"/>
    <w:rsid w:val="000A55E9"/>
    <w:rsid w:val="000A5CEF"/>
    <w:rsid w:val="000A6C0F"/>
    <w:rsid w:val="000C12CD"/>
    <w:rsid w:val="000C25EB"/>
    <w:rsid w:val="000C3611"/>
    <w:rsid w:val="000D4DA0"/>
    <w:rsid w:val="000D4EB6"/>
    <w:rsid w:val="00102255"/>
    <w:rsid w:val="00114E63"/>
    <w:rsid w:val="0012284C"/>
    <w:rsid w:val="0012445A"/>
    <w:rsid w:val="0012692D"/>
    <w:rsid w:val="0013417C"/>
    <w:rsid w:val="00142C2C"/>
    <w:rsid w:val="001464F7"/>
    <w:rsid w:val="00150AC1"/>
    <w:rsid w:val="00167C10"/>
    <w:rsid w:val="00170825"/>
    <w:rsid w:val="00175CCC"/>
    <w:rsid w:val="00182D8C"/>
    <w:rsid w:val="00186860"/>
    <w:rsid w:val="00190855"/>
    <w:rsid w:val="001B12ED"/>
    <w:rsid w:val="001C56C3"/>
    <w:rsid w:val="001C70EC"/>
    <w:rsid w:val="001E191E"/>
    <w:rsid w:val="001E3E37"/>
    <w:rsid w:val="001E5392"/>
    <w:rsid w:val="0022067A"/>
    <w:rsid w:val="00220985"/>
    <w:rsid w:val="002416CA"/>
    <w:rsid w:val="002548A2"/>
    <w:rsid w:val="00261213"/>
    <w:rsid w:val="002756A4"/>
    <w:rsid w:val="00281BD3"/>
    <w:rsid w:val="00284C5D"/>
    <w:rsid w:val="00293F83"/>
    <w:rsid w:val="002A4CB7"/>
    <w:rsid w:val="002C1A93"/>
    <w:rsid w:val="002C6BB3"/>
    <w:rsid w:val="002D6F4C"/>
    <w:rsid w:val="002E537D"/>
    <w:rsid w:val="002F037A"/>
    <w:rsid w:val="002F0B8F"/>
    <w:rsid w:val="002F24C5"/>
    <w:rsid w:val="002F36D8"/>
    <w:rsid w:val="00301B20"/>
    <w:rsid w:val="00301C2F"/>
    <w:rsid w:val="0030708B"/>
    <w:rsid w:val="0031573D"/>
    <w:rsid w:val="00333573"/>
    <w:rsid w:val="003427AA"/>
    <w:rsid w:val="0034424E"/>
    <w:rsid w:val="0035041A"/>
    <w:rsid w:val="003517CE"/>
    <w:rsid w:val="00355086"/>
    <w:rsid w:val="00366A2B"/>
    <w:rsid w:val="00366E88"/>
    <w:rsid w:val="003A1CC0"/>
    <w:rsid w:val="003A3706"/>
    <w:rsid w:val="003B1324"/>
    <w:rsid w:val="003C2ED2"/>
    <w:rsid w:val="003C3299"/>
    <w:rsid w:val="003D2F6F"/>
    <w:rsid w:val="003D434D"/>
    <w:rsid w:val="003E3A78"/>
    <w:rsid w:val="0040050B"/>
    <w:rsid w:val="00403654"/>
    <w:rsid w:val="00423562"/>
    <w:rsid w:val="00427B8D"/>
    <w:rsid w:val="004311AE"/>
    <w:rsid w:val="00440E16"/>
    <w:rsid w:val="004415E0"/>
    <w:rsid w:val="00442A0F"/>
    <w:rsid w:val="00443ECC"/>
    <w:rsid w:val="00463941"/>
    <w:rsid w:val="004801CC"/>
    <w:rsid w:val="00484592"/>
    <w:rsid w:val="00490AC7"/>
    <w:rsid w:val="004B126C"/>
    <w:rsid w:val="004B1BCE"/>
    <w:rsid w:val="004B3FAC"/>
    <w:rsid w:val="004B78A7"/>
    <w:rsid w:val="004C1EC4"/>
    <w:rsid w:val="004D3D01"/>
    <w:rsid w:val="004E7920"/>
    <w:rsid w:val="005006E8"/>
    <w:rsid w:val="00504F5A"/>
    <w:rsid w:val="005058EB"/>
    <w:rsid w:val="005115E1"/>
    <w:rsid w:val="00536F13"/>
    <w:rsid w:val="00547C2E"/>
    <w:rsid w:val="0055454F"/>
    <w:rsid w:val="00555D47"/>
    <w:rsid w:val="005620C2"/>
    <w:rsid w:val="00562239"/>
    <w:rsid w:val="00565FD1"/>
    <w:rsid w:val="00566FBE"/>
    <w:rsid w:val="005771C1"/>
    <w:rsid w:val="00584371"/>
    <w:rsid w:val="0059131A"/>
    <w:rsid w:val="00592EE1"/>
    <w:rsid w:val="005A64B8"/>
    <w:rsid w:val="005B7019"/>
    <w:rsid w:val="005D0DF5"/>
    <w:rsid w:val="005E2A91"/>
    <w:rsid w:val="005E3B15"/>
    <w:rsid w:val="005E506B"/>
    <w:rsid w:val="005F27BF"/>
    <w:rsid w:val="005F3FE0"/>
    <w:rsid w:val="005F667D"/>
    <w:rsid w:val="00602439"/>
    <w:rsid w:val="00603661"/>
    <w:rsid w:val="00607562"/>
    <w:rsid w:val="00614758"/>
    <w:rsid w:val="0062291E"/>
    <w:rsid w:val="006244BD"/>
    <w:rsid w:val="0063514B"/>
    <w:rsid w:val="006369DE"/>
    <w:rsid w:val="00640F55"/>
    <w:rsid w:val="00643106"/>
    <w:rsid w:val="00643DAC"/>
    <w:rsid w:val="00652010"/>
    <w:rsid w:val="006521C0"/>
    <w:rsid w:val="00655305"/>
    <w:rsid w:val="00657A24"/>
    <w:rsid w:val="00661774"/>
    <w:rsid w:val="00663F91"/>
    <w:rsid w:val="006672BD"/>
    <w:rsid w:val="00677508"/>
    <w:rsid w:val="00677F10"/>
    <w:rsid w:val="00680C2F"/>
    <w:rsid w:val="00684A26"/>
    <w:rsid w:val="00692016"/>
    <w:rsid w:val="0069330C"/>
    <w:rsid w:val="00695ACC"/>
    <w:rsid w:val="00695F27"/>
    <w:rsid w:val="006A1734"/>
    <w:rsid w:val="006C048E"/>
    <w:rsid w:val="006C4459"/>
    <w:rsid w:val="006C614D"/>
    <w:rsid w:val="006D7694"/>
    <w:rsid w:val="006F5F05"/>
    <w:rsid w:val="006F7FE4"/>
    <w:rsid w:val="00700A32"/>
    <w:rsid w:val="00700DFA"/>
    <w:rsid w:val="00705F53"/>
    <w:rsid w:val="007105D4"/>
    <w:rsid w:val="00723238"/>
    <w:rsid w:val="007316F7"/>
    <w:rsid w:val="00733299"/>
    <w:rsid w:val="007449BC"/>
    <w:rsid w:val="00756385"/>
    <w:rsid w:val="00766A21"/>
    <w:rsid w:val="007818F0"/>
    <w:rsid w:val="00797162"/>
    <w:rsid w:val="007A0EE1"/>
    <w:rsid w:val="007A4D8B"/>
    <w:rsid w:val="007C2023"/>
    <w:rsid w:val="007C397E"/>
    <w:rsid w:val="007D14DD"/>
    <w:rsid w:val="007E65B6"/>
    <w:rsid w:val="007F631D"/>
    <w:rsid w:val="00803DFC"/>
    <w:rsid w:val="00806B56"/>
    <w:rsid w:val="00813E84"/>
    <w:rsid w:val="00817181"/>
    <w:rsid w:val="00822D5D"/>
    <w:rsid w:val="00823F67"/>
    <w:rsid w:val="0082512A"/>
    <w:rsid w:val="00832728"/>
    <w:rsid w:val="00841577"/>
    <w:rsid w:val="008512BD"/>
    <w:rsid w:val="008550A0"/>
    <w:rsid w:val="00857669"/>
    <w:rsid w:val="00860C13"/>
    <w:rsid w:val="008702D2"/>
    <w:rsid w:val="008737E2"/>
    <w:rsid w:val="008821F4"/>
    <w:rsid w:val="00894A96"/>
    <w:rsid w:val="008A0C17"/>
    <w:rsid w:val="008A3FA8"/>
    <w:rsid w:val="008B0D83"/>
    <w:rsid w:val="008B1930"/>
    <w:rsid w:val="008B322D"/>
    <w:rsid w:val="008C1903"/>
    <w:rsid w:val="008C3B19"/>
    <w:rsid w:val="008D0B8A"/>
    <w:rsid w:val="008E3FB1"/>
    <w:rsid w:val="008E68B3"/>
    <w:rsid w:val="009012FF"/>
    <w:rsid w:val="00913B98"/>
    <w:rsid w:val="00914060"/>
    <w:rsid w:val="00916F41"/>
    <w:rsid w:val="009314E8"/>
    <w:rsid w:val="00931BBA"/>
    <w:rsid w:val="00932B4B"/>
    <w:rsid w:val="009357BC"/>
    <w:rsid w:val="00936241"/>
    <w:rsid w:val="009426A4"/>
    <w:rsid w:val="009503E2"/>
    <w:rsid w:val="009677B8"/>
    <w:rsid w:val="00970809"/>
    <w:rsid w:val="00974513"/>
    <w:rsid w:val="009774C2"/>
    <w:rsid w:val="00991C50"/>
    <w:rsid w:val="00992C21"/>
    <w:rsid w:val="009A254D"/>
    <w:rsid w:val="009B345E"/>
    <w:rsid w:val="009B4166"/>
    <w:rsid w:val="009C06CA"/>
    <w:rsid w:val="009C0FC5"/>
    <w:rsid w:val="009D00DA"/>
    <w:rsid w:val="009D0A6E"/>
    <w:rsid w:val="009D7B23"/>
    <w:rsid w:val="009E34AF"/>
    <w:rsid w:val="009E79A4"/>
    <w:rsid w:val="009F1DB7"/>
    <w:rsid w:val="009F1E8B"/>
    <w:rsid w:val="009F26F9"/>
    <w:rsid w:val="009F698D"/>
    <w:rsid w:val="00A42F58"/>
    <w:rsid w:val="00A456BB"/>
    <w:rsid w:val="00A46D96"/>
    <w:rsid w:val="00A507C7"/>
    <w:rsid w:val="00A60EFB"/>
    <w:rsid w:val="00A677AA"/>
    <w:rsid w:val="00A76D1C"/>
    <w:rsid w:val="00A77C7F"/>
    <w:rsid w:val="00A85E53"/>
    <w:rsid w:val="00A90408"/>
    <w:rsid w:val="00AA1816"/>
    <w:rsid w:val="00AA39CD"/>
    <w:rsid w:val="00AA5AF1"/>
    <w:rsid w:val="00AB5F3F"/>
    <w:rsid w:val="00AC0427"/>
    <w:rsid w:val="00AC1A68"/>
    <w:rsid w:val="00AD184A"/>
    <w:rsid w:val="00AD2057"/>
    <w:rsid w:val="00AE1DFA"/>
    <w:rsid w:val="00AE2A80"/>
    <w:rsid w:val="00AE54FD"/>
    <w:rsid w:val="00AF1581"/>
    <w:rsid w:val="00AF76AB"/>
    <w:rsid w:val="00B03628"/>
    <w:rsid w:val="00B11B41"/>
    <w:rsid w:val="00B15035"/>
    <w:rsid w:val="00B22605"/>
    <w:rsid w:val="00B231DE"/>
    <w:rsid w:val="00B24FF2"/>
    <w:rsid w:val="00B30907"/>
    <w:rsid w:val="00B4685F"/>
    <w:rsid w:val="00B56774"/>
    <w:rsid w:val="00B62A8C"/>
    <w:rsid w:val="00B64FAC"/>
    <w:rsid w:val="00B6602D"/>
    <w:rsid w:val="00B8551D"/>
    <w:rsid w:val="00B90A8D"/>
    <w:rsid w:val="00B93F4D"/>
    <w:rsid w:val="00BA27A5"/>
    <w:rsid w:val="00BB7071"/>
    <w:rsid w:val="00BC1472"/>
    <w:rsid w:val="00BC533F"/>
    <w:rsid w:val="00BC661F"/>
    <w:rsid w:val="00BD02E2"/>
    <w:rsid w:val="00BE571E"/>
    <w:rsid w:val="00C0542C"/>
    <w:rsid w:val="00C05C96"/>
    <w:rsid w:val="00C15730"/>
    <w:rsid w:val="00C16B11"/>
    <w:rsid w:val="00C174DE"/>
    <w:rsid w:val="00C305CE"/>
    <w:rsid w:val="00C321D9"/>
    <w:rsid w:val="00C33051"/>
    <w:rsid w:val="00C404D0"/>
    <w:rsid w:val="00C42545"/>
    <w:rsid w:val="00C451CF"/>
    <w:rsid w:val="00C46850"/>
    <w:rsid w:val="00C477C5"/>
    <w:rsid w:val="00C50A7B"/>
    <w:rsid w:val="00C52BD9"/>
    <w:rsid w:val="00C537EB"/>
    <w:rsid w:val="00C556D9"/>
    <w:rsid w:val="00C64C1C"/>
    <w:rsid w:val="00C77A05"/>
    <w:rsid w:val="00C8272F"/>
    <w:rsid w:val="00CA1DEF"/>
    <w:rsid w:val="00CA403F"/>
    <w:rsid w:val="00CA5C1D"/>
    <w:rsid w:val="00CB6505"/>
    <w:rsid w:val="00CD4C72"/>
    <w:rsid w:val="00CD7A69"/>
    <w:rsid w:val="00CF381A"/>
    <w:rsid w:val="00D03CA0"/>
    <w:rsid w:val="00D070B1"/>
    <w:rsid w:val="00D2574B"/>
    <w:rsid w:val="00D308F5"/>
    <w:rsid w:val="00D30E66"/>
    <w:rsid w:val="00D31C0E"/>
    <w:rsid w:val="00D46D53"/>
    <w:rsid w:val="00D550F5"/>
    <w:rsid w:val="00D55FB0"/>
    <w:rsid w:val="00D65360"/>
    <w:rsid w:val="00D67B4E"/>
    <w:rsid w:val="00D67C6B"/>
    <w:rsid w:val="00D703F7"/>
    <w:rsid w:val="00D75EF8"/>
    <w:rsid w:val="00D77046"/>
    <w:rsid w:val="00D914D2"/>
    <w:rsid w:val="00D9348E"/>
    <w:rsid w:val="00D966E0"/>
    <w:rsid w:val="00DA62FC"/>
    <w:rsid w:val="00DA6FAA"/>
    <w:rsid w:val="00DA71EE"/>
    <w:rsid w:val="00DA79D3"/>
    <w:rsid w:val="00DB0009"/>
    <w:rsid w:val="00DC37FE"/>
    <w:rsid w:val="00DC467E"/>
    <w:rsid w:val="00DC477E"/>
    <w:rsid w:val="00DD38A2"/>
    <w:rsid w:val="00DD5DF4"/>
    <w:rsid w:val="00DD61EA"/>
    <w:rsid w:val="00DD6473"/>
    <w:rsid w:val="00DE2B7B"/>
    <w:rsid w:val="00DE3D37"/>
    <w:rsid w:val="00DF4E2B"/>
    <w:rsid w:val="00E0063D"/>
    <w:rsid w:val="00E10246"/>
    <w:rsid w:val="00E13745"/>
    <w:rsid w:val="00E20939"/>
    <w:rsid w:val="00E24310"/>
    <w:rsid w:val="00E27D7B"/>
    <w:rsid w:val="00E461AA"/>
    <w:rsid w:val="00E62111"/>
    <w:rsid w:val="00E75D0F"/>
    <w:rsid w:val="00E772FC"/>
    <w:rsid w:val="00E7747E"/>
    <w:rsid w:val="00E80790"/>
    <w:rsid w:val="00E865BD"/>
    <w:rsid w:val="00E90296"/>
    <w:rsid w:val="00EA44FC"/>
    <w:rsid w:val="00EB0EE8"/>
    <w:rsid w:val="00EB160A"/>
    <w:rsid w:val="00EB339A"/>
    <w:rsid w:val="00EC1C6C"/>
    <w:rsid w:val="00ED2E4B"/>
    <w:rsid w:val="00EE2D42"/>
    <w:rsid w:val="00EE5461"/>
    <w:rsid w:val="00F071BD"/>
    <w:rsid w:val="00F15343"/>
    <w:rsid w:val="00F1657F"/>
    <w:rsid w:val="00F16D4C"/>
    <w:rsid w:val="00F173CC"/>
    <w:rsid w:val="00F212FA"/>
    <w:rsid w:val="00F3282E"/>
    <w:rsid w:val="00F32C2B"/>
    <w:rsid w:val="00F33CF1"/>
    <w:rsid w:val="00F35260"/>
    <w:rsid w:val="00F37613"/>
    <w:rsid w:val="00F4076B"/>
    <w:rsid w:val="00F5373F"/>
    <w:rsid w:val="00F55249"/>
    <w:rsid w:val="00F625CF"/>
    <w:rsid w:val="00F63EEE"/>
    <w:rsid w:val="00F646E2"/>
    <w:rsid w:val="00F64A32"/>
    <w:rsid w:val="00F654E8"/>
    <w:rsid w:val="00F727F3"/>
    <w:rsid w:val="00F738C6"/>
    <w:rsid w:val="00F80FC2"/>
    <w:rsid w:val="00F83E2B"/>
    <w:rsid w:val="00F864CC"/>
    <w:rsid w:val="00F86923"/>
    <w:rsid w:val="00F9457E"/>
    <w:rsid w:val="00FA1264"/>
    <w:rsid w:val="00FA2D4A"/>
    <w:rsid w:val="00FA4660"/>
    <w:rsid w:val="00FA4D34"/>
    <w:rsid w:val="00FB1CF2"/>
    <w:rsid w:val="00FC2885"/>
    <w:rsid w:val="00FC3F7A"/>
    <w:rsid w:val="00FD005C"/>
    <w:rsid w:val="00FD1254"/>
    <w:rsid w:val="00FD310D"/>
    <w:rsid w:val="00FD617F"/>
    <w:rsid w:val="00FF1E02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55305"/>
    <w:pPr>
      <w:keepNext/>
      <w:keepLines/>
      <w:spacing w:line="320" w:lineRule="exact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"/>
    <w:basedOn w:val="a"/>
    <w:rsid w:val="00E10246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3">
    <w:name w:val="header"/>
    <w:basedOn w:val="a"/>
    <w:link w:val="a4"/>
    <w:rsid w:val="004B78A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4B78A7"/>
    <w:rPr>
      <w:lang w:val="ru-RU" w:eastAsia="ru-RU" w:bidi="ar-SA"/>
    </w:rPr>
  </w:style>
  <w:style w:type="table" w:styleId="a5">
    <w:name w:val="Table Grid"/>
    <w:basedOn w:val="a1"/>
    <w:rsid w:val="00C6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55305"/>
    <w:rPr>
      <w:b/>
      <w:bCs/>
      <w:sz w:val="28"/>
    </w:rPr>
  </w:style>
  <w:style w:type="paragraph" w:customStyle="1" w:styleId="21">
    <w:name w:val="Знак Знак2"/>
    <w:basedOn w:val="a"/>
    <w:rsid w:val="008A0C1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2">
    <w:name w:val="Знак Знак2"/>
    <w:basedOn w:val="a"/>
    <w:rsid w:val="001C70EC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List Paragraph"/>
    <w:basedOn w:val="a"/>
    <w:uiPriority w:val="34"/>
    <w:qFormat/>
    <w:rsid w:val="009F1DB7"/>
    <w:pPr>
      <w:ind w:left="720"/>
      <w:contextualSpacing/>
    </w:pPr>
  </w:style>
  <w:style w:type="paragraph" w:customStyle="1" w:styleId="23">
    <w:name w:val="Знак Знак2"/>
    <w:basedOn w:val="a"/>
    <w:rsid w:val="0059131A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4">
    <w:name w:val="Знак Знак2"/>
    <w:basedOn w:val="a"/>
    <w:rsid w:val="00F33CF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5">
    <w:name w:val="Знак Знак2"/>
    <w:basedOn w:val="a"/>
    <w:rsid w:val="007818F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6">
    <w:name w:val="Знак Знак2"/>
    <w:basedOn w:val="a"/>
    <w:rsid w:val="00EB0EE8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Doc">
    <w:name w:val="HeadDoc"/>
    <w:rsid w:val="00EB0EE8"/>
    <w:pPr>
      <w:keepLines/>
      <w:jc w:val="both"/>
    </w:pPr>
    <w:rPr>
      <w:sz w:val="28"/>
    </w:rPr>
  </w:style>
  <w:style w:type="paragraph" w:styleId="a7">
    <w:name w:val="Balloon Text"/>
    <w:basedOn w:val="a"/>
    <w:link w:val="a8"/>
    <w:rsid w:val="00EB0E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B0EE8"/>
    <w:rPr>
      <w:rFonts w:ascii="Tahoma" w:hAnsi="Tahoma" w:cs="Tahoma"/>
      <w:sz w:val="16"/>
      <w:szCs w:val="16"/>
    </w:rPr>
  </w:style>
  <w:style w:type="paragraph" w:customStyle="1" w:styleId="27">
    <w:name w:val="Знак Знак2"/>
    <w:basedOn w:val="a"/>
    <w:rsid w:val="00F83E2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8">
    <w:name w:val="Знак Знак2"/>
    <w:basedOn w:val="a"/>
    <w:rsid w:val="00B93F4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9">
    <w:name w:val="Знак Знак2"/>
    <w:basedOn w:val="a"/>
    <w:rsid w:val="000C25EB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a">
    <w:name w:val="Знак Знак2"/>
    <w:basedOn w:val="a"/>
    <w:rsid w:val="007105D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b">
    <w:name w:val="Знак Знак2"/>
    <w:basedOn w:val="a"/>
    <w:rsid w:val="001C56C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c">
    <w:name w:val="Знак Знак2"/>
    <w:basedOn w:val="a"/>
    <w:rsid w:val="008E68B3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d">
    <w:name w:val="Знак Знак2"/>
    <w:basedOn w:val="a"/>
    <w:rsid w:val="0012692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2e">
    <w:name w:val="Знак Знак2"/>
    <w:basedOn w:val="a"/>
    <w:rsid w:val="00766A2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uiPriority w:val="99"/>
    <w:unhideWhenUsed/>
    <w:rsid w:val="005A64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3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проверки отчета об исполнении бюджета</vt:lpstr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проверки отчета об исполнении бюджета</dc:title>
  <dc:creator>Марина Николаевна</dc:creator>
  <cp:keywords>Вакс; Совет</cp:keywords>
  <cp:lastModifiedBy>Безносикова Марина Николаевна</cp:lastModifiedBy>
  <cp:revision>90</cp:revision>
  <cp:lastPrinted>2025-12-16T05:53:00Z</cp:lastPrinted>
  <dcterms:created xsi:type="dcterms:W3CDTF">2020-05-29T08:25:00Z</dcterms:created>
  <dcterms:modified xsi:type="dcterms:W3CDTF">2025-12-16T06:22:00Z</dcterms:modified>
</cp:coreProperties>
</file>