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B0" w:rsidRPr="00F63560" w:rsidRDefault="00BE3C54" w:rsidP="00024F53">
      <w:pPr>
        <w:shd w:val="clear" w:color="auto" w:fill="FFFFFF"/>
        <w:spacing w:before="100" w:beforeAutospacing="1" w:line="240" w:lineRule="auto"/>
        <w:ind w:left="0" w:right="0" w:firstLine="567"/>
        <w:rPr>
          <w:rFonts w:eastAsia="Times New Roman"/>
          <w:b/>
          <w:sz w:val="28"/>
          <w:szCs w:val="28"/>
          <w:lang w:eastAsia="ru-RU"/>
        </w:rPr>
      </w:pPr>
      <w:r>
        <w:rPr>
          <w:rFonts w:eastAsia="Times New Roman"/>
          <w:b/>
          <w:sz w:val="28"/>
          <w:szCs w:val="28"/>
          <w:lang w:eastAsia="ru-RU"/>
        </w:rPr>
        <w:t>О</w:t>
      </w:r>
      <w:r w:rsidR="00024F53" w:rsidRPr="00024F53">
        <w:rPr>
          <w:rFonts w:eastAsia="Times New Roman"/>
          <w:b/>
          <w:sz w:val="28"/>
          <w:szCs w:val="28"/>
          <w:lang w:eastAsia="ru-RU"/>
        </w:rPr>
        <w:t>б итогах анализа администрирования доходов местного бюджета, в том числе эффективности мер, принимаемых для увеличения поступлений в бюджет</w:t>
      </w:r>
    </w:p>
    <w:p w:rsidR="006838B0" w:rsidRDefault="00592229" w:rsidP="000D0BB6">
      <w:pPr>
        <w:shd w:val="clear" w:color="auto" w:fill="FFFFFF"/>
        <w:spacing w:before="120" w:line="240" w:lineRule="auto"/>
        <w:ind w:left="0" w:right="0" w:firstLine="567"/>
        <w:jc w:val="both"/>
        <w:rPr>
          <w:rFonts w:eastAsia="Times New Roman"/>
          <w:sz w:val="28"/>
          <w:szCs w:val="28"/>
          <w:lang w:eastAsia="ru-RU"/>
        </w:rPr>
      </w:pPr>
      <w:r w:rsidRPr="00F63560">
        <w:rPr>
          <w:rFonts w:eastAsia="Times New Roman"/>
          <w:sz w:val="28"/>
          <w:szCs w:val="28"/>
          <w:lang w:eastAsia="ru-RU"/>
        </w:rPr>
        <w:t>По результатам проверки, проведенной</w:t>
      </w:r>
      <w:r w:rsidR="006800DE" w:rsidRPr="00F63560">
        <w:rPr>
          <w:rFonts w:eastAsia="Times New Roman"/>
          <w:sz w:val="28"/>
          <w:szCs w:val="28"/>
          <w:lang w:eastAsia="ru-RU"/>
        </w:rPr>
        <w:t xml:space="preserve"> в </w:t>
      </w:r>
      <w:r w:rsidR="00024F53" w:rsidRPr="00F63560">
        <w:rPr>
          <w:rFonts w:eastAsia="Times New Roman"/>
          <w:sz w:val="28"/>
          <w:szCs w:val="28"/>
          <w:lang w:eastAsia="ru-RU"/>
        </w:rPr>
        <w:t>Комитете по управлению муниципальным имуществом администрации МО ГО "Сыктывкар"</w:t>
      </w:r>
      <w:r w:rsidR="00024F53">
        <w:rPr>
          <w:rFonts w:eastAsia="Times New Roman"/>
          <w:sz w:val="28"/>
          <w:szCs w:val="28"/>
          <w:lang w:eastAsia="ru-RU"/>
        </w:rPr>
        <w:t xml:space="preserve"> и А</w:t>
      </w:r>
      <w:r w:rsidR="006800DE" w:rsidRPr="00F63560">
        <w:rPr>
          <w:rFonts w:eastAsia="Times New Roman"/>
          <w:sz w:val="28"/>
          <w:szCs w:val="28"/>
          <w:lang w:eastAsia="ru-RU"/>
        </w:rPr>
        <w:t xml:space="preserve">дминистрации </w:t>
      </w:r>
      <w:r w:rsidR="00622E7D" w:rsidRPr="00F63560">
        <w:rPr>
          <w:rFonts w:eastAsia="Times New Roman"/>
          <w:sz w:val="28"/>
          <w:szCs w:val="28"/>
          <w:lang w:eastAsia="ru-RU"/>
        </w:rPr>
        <w:t xml:space="preserve">Эжвинского района </w:t>
      </w:r>
      <w:r w:rsidR="00024F53">
        <w:rPr>
          <w:rFonts w:eastAsia="Times New Roman"/>
          <w:sz w:val="28"/>
          <w:szCs w:val="28"/>
          <w:lang w:eastAsia="ru-RU"/>
        </w:rPr>
        <w:t>МО ГО "Сыктывкар"</w:t>
      </w:r>
      <w:r w:rsidRPr="00F63560">
        <w:rPr>
          <w:rFonts w:eastAsia="Times New Roman"/>
          <w:sz w:val="28"/>
          <w:szCs w:val="28"/>
          <w:lang w:eastAsia="ru-RU"/>
        </w:rPr>
        <w:t xml:space="preserve">, </w:t>
      </w:r>
      <w:r w:rsidRPr="00F63560">
        <w:rPr>
          <w:rFonts w:eastAsia="Times New Roman"/>
          <w:bCs/>
          <w:sz w:val="28"/>
          <w:szCs w:val="28"/>
          <w:lang w:eastAsia="ru-RU"/>
        </w:rPr>
        <w:t>Контрольно-счетная палата</w:t>
      </w:r>
      <w:r w:rsidR="000D0BB6">
        <w:rPr>
          <w:rFonts w:eastAsia="Times New Roman"/>
          <w:bCs/>
          <w:sz w:val="28"/>
          <w:szCs w:val="28"/>
          <w:lang w:eastAsia="ru-RU"/>
        </w:rPr>
        <w:t xml:space="preserve"> пришла к следующим выводам.</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Вызывает сомнение эффективность организации учета муниципального имущества в системе ГИС РК АСУС, отчетные формы которой являются недостоверными и не могут использоваться в том числе для формирования финансовой отчетности.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Установленные для МО ГО "Сыктывкар" ставки арендной платы за земельные участки, предоставленные в аренду без торгов, значительно ниже рыночных, не обеспечивают достаточные поступления в муниципальный бюджет и являются одними из самых низких по сравнению с муниципалитетами Республики Коми и других субъектов Российской Федерации.</w:t>
      </w:r>
    </w:p>
    <w:p w:rsidR="00EF131E" w:rsidRPr="00EF131E" w:rsidRDefault="00EF131E" w:rsidP="00EF131E">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Установленная ставка арендной платы за земельные участки под гаражами (0,3</w:t>
      </w:r>
      <w:r w:rsidR="00BE3C54">
        <w:rPr>
          <w:rFonts w:eastAsia="Times New Roman"/>
          <w:sz w:val="28"/>
          <w:szCs w:val="28"/>
          <w:lang w:eastAsia="ru-RU"/>
        </w:rPr>
        <w:t> </w:t>
      </w:r>
      <w:r w:rsidRPr="00EF131E">
        <w:rPr>
          <w:rFonts w:eastAsia="Times New Roman"/>
          <w:sz w:val="28"/>
          <w:szCs w:val="28"/>
          <w:lang w:eastAsia="ru-RU"/>
        </w:rPr>
        <w:t>%) в 5 раз ниже соответствующей ставки земельного налога (1,5 %), что влечет отсутствие заинтересованности граждан в оформлении права собственности на земельные участки под гаражами, в том числе в рамках реализации</w:t>
      </w:r>
      <w:r w:rsidR="00BE3C54">
        <w:rPr>
          <w:rFonts w:eastAsia="Times New Roman"/>
          <w:sz w:val="28"/>
          <w:szCs w:val="28"/>
          <w:lang w:eastAsia="ru-RU"/>
        </w:rPr>
        <w:t xml:space="preserve"> Федерального закона о гаражной амнистии от 05.04.2021 № 79-ФЗ</w:t>
      </w:r>
      <w:r w:rsidRPr="00EF131E">
        <w:rPr>
          <w:rFonts w:eastAsia="Times New Roman"/>
          <w:sz w:val="28"/>
          <w:szCs w:val="28"/>
          <w:lang w:eastAsia="ru-RU"/>
        </w:rPr>
        <w:t>.</w:t>
      </w:r>
    </w:p>
    <w:p w:rsidR="00EF131E" w:rsidRPr="00EF131E" w:rsidRDefault="00EF131E" w:rsidP="0019687A">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Кроме того, доходы от аренды таких земельных участков меньше чем расходы на их администрирование.</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2025 году в Администрации Эжвинского района отсутствовал порядок принятия решений о признании дебиторской задолженности сомнительной, что привело к искажению п</w:t>
      </w:r>
      <w:r w:rsidR="00636F3A">
        <w:rPr>
          <w:rFonts w:eastAsia="Times New Roman"/>
          <w:sz w:val="28"/>
          <w:szCs w:val="28"/>
          <w:lang w:eastAsia="ru-RU"/>
        </w:rPr>
        <w:t>оказателей бюджетной отчетности</w:t>
      </w:r>
      <w:r w:rsidRPr="00EF131E">
        <w:rPr>
          <w:rFonts w:eastAsia="Times New Roman"/>
          <w:sz w:val="28"/>
          <w:szCs w:val="28"/>
          <w:lang w:eastAsia="ru-RU"/>
        </w:rPr>
        <w:t>. Нарушение устранено в период проведения проверки.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По результатам инвентаризации, проведенной Комитетом в марте 2026 года</w:t>
      </w:r>
      <w:r w:rsidR="00636F3A">
        <w:rPr>
          <w:rFonts w:eastAsia="Times New Roman"/>
          <w:sz w:val="28"/>
          <w:szCs w:val="28"/>
          <w:lang w:eastAsia="ru-RU"/>
        </w:rPr>
        <w:t>,</w:t>
      </w:r>
      <w:r w:rsidRPr="00EF131E">
        <w:rPr>
          <w:rFonts w:eastAsia="Times New Roman"/>
          <w:sz w:val="28"/>
          <w:szCs w:val="28"/>
          <w:lang w:eastAsia="ru-RU"/>
        </w:rPr>
        <w:t xml:space="preserve"> количество заключенных договоров аренды по состоянию на 01.01.2026 уменьшилось на 16 ед. по отношению к данным инвентаризации, проведенной в январе 2026 года на ту же отчетную дату, что свидетельствует о формальном проведении инвентаризации и влечет риски недостоверности показателей бюджетной отчетности.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 xml:space="preserve">Выборочной проверкой договоров аренды земельных участков, государственная собственность на которые не разграничена, установлено, что Комитетом и Администрацией Эжвинского района не приняты меры по изменению/дополнению вида разрешенного использования земельных участков. </w:t>
      </w:r>
    </w:p>
    <w:p w:rsidR="00EF131E" w:rsidRPr="00EF131E" w:rsidRDefault="00EF131E" w:rsidP="0019687A">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Заключение договоров аренды земельного участка с видом разрешенного использования не соответствующего фактическому использованию влечет ежегодные потери неналоговых доходов местного бюджета.</w:t>
      </w:r>
    </w:p>
    <w:p w:rsidR="00EF131E" w:rsidRPr="00EF131E" w:rsidRDefault="00EF131E" w:rsidP="0019687A">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По итогам проверки Комитет направил информацию в Управление контроля администрации МО ГО "Сыктывкар" для проведения мероприятий земельного контроля; Администрация Эжвинского района осуществила мероприятия земельного контроля, подготовила проект постановления администрации МО ГО "Сыктывкар" об изменении вида разрешенного использования земельного участка.</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lastRenderedPageBreak/>
        <w:t>Комитетом необоснованно включена в состав доходов от арендной платы за земельные участки, находящиеся в собственности городских округов, плата по соглаш</w:t>
      </w:r>
      <w:r w:rsidR="00BE3C54">
        <w:rPr>
          <w:rFonts w:eastAsia="Times New Roman"/>
          <w:sz w:val="28"/>
          <w:szCs w:val="28"/>
          <w:lang w:eastAsia="ru-RU"/>
        </w:rPr>
        <w:t>ениям об установлении сервитута</w:t>
      </w:r>
      <w:r w:rsidRPr="00EF131E">
        <w:rPr>
          <w:rFonts w:eastAsia="Times New Roman"/>
          <w:sz w:val="28"/>
          <w:szCs w:val="28"/>
          <w:lang w:eastAsia="ru-RU"/>
        </w:rPr>
        <w:t>, что привело к искажению показателей бюджетной отчетности.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нарушение требований статьи 28 Бюджетного кодекса РФ в бюджете МО ГО "Сыктывкар" на 2026 год и плановый период 2027 и 2028 годов не запланированы доходы от платы по соглаш</w:t>
      </w:r>
      <w:r w:rsidR="00BE3C54">
        <w:rPr>
          <w:rFonts w:eastAsia="Times New Roman"/>
          <w:sz w:val="28"/>
          <w:szCs w:val="28"/>
          <w:lang w:eastAsia="ru-RU"/>
        </w:rPr>
        <w:t>ениям об установлении сервитута</w:t>
      </w:r>
      <w:r w:rsidRPr="00EF131E">
        <w:rPr>
          <w:rFonts w:eastAsia="Times New Roman"/>
          <w:sz w:val="28"/>
          <w:szCs w:val="28"/>
          <w:lang w:eastAsia="ru-RU"/>
        </w:rPr>
        <w:t>.</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За 2025 год общая задолженность увеличилась на 70 604,5 тыс. рублей (в 2 раза) и по состоянию на 01.01.2026 составила 142 293,6 тыс. рублей, 24 процента которой (34 319,1 тыс. рублей) составляет задолженность ООО "Лузалес".</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течение 2025 года Комитетом признана и списана безнад</w:t>
      </w:r>
      <w:r w:rsidR="003009F5">
        <w:rPr>
          <w:rFonts w:eastAsia="Times New Roman"/>
          <w:sz w:val="28"/>
          <w:szCs w:val="28"/>
          <w:lang w:eastAsia="ru-RU"/>
        </w:rPr>
        <w:t>ежная к взысканию задолженность</w:t>
      </w:r>
      <w:r w:rsidRPr="00EF131E">
        <w:rPr>
          <w:rFonts w:eastAsia="Times New Roman"/>
          <w:sz w:val="28"/>
          <w:szCs w:val="28"/>
          <w:lang w:eastAsia="ru-RU"/>
        </w:rPr>
        <w:t>. При этом в нарушение требований Федерального закона от 06.12.2011 № 402-ФЗ "О бухгалтерском учете" и Приказа Минфина России от 15.04.2021 № 61н Комитетом не сформирован Акт о признании безнадежной к взысканию задолженности по доходам.</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нарушение требований Федерального закона № 402-ФЗ, Приказа Минфина России № 61н Комитетом не утверждались решения о проведении инвентаризации.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Показатели бюджетной отчетности Комитета по состоянию на 01.01.2026 недостоверны. В нарушение требований Бюджетного кодекса Российской Федерации, Федерального закона № 402-ФЗ, Федеральных стандартов бухгалтерского учета, Приказа Минфина России от 15.04.2021 № 157н результаты инвентаризации не обеспечили достоверность показателей бюджетной отчетности, в том числе:</w:t>
      </w:r>
    </w:p>
    <w:p w:rsidR="00EF131E" w:rsidRPr="00EF131E" w:rsidRDefault="003009F5" w:rsidP="00EF131E">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EF131E" w:rsidRPr="00EF131E">
        <w:rPr>
          <w:rFonts w:eastAsia="Times New Roman"/>
          <w:sz w:val="28"/>
          <w:szCs w:val="28"/>
          <w:lang w:eastAsia="ru-RU"/>
        </w:rPr>
        <w:t>отсутствует информация о размере кредиторской задолженности (переплате);</w:t>
      </w:r>
    </w:p>
    <w:p w:rsidR="00EF131E" w:rsidRPr="00EF131E" w:rsidRDefault="00EF131E" w:rsidP="00EF131E">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 завышен размер текущей дебиторской задолженности по доходам;</w:t>
      </w:r>
    </w:p>
    <w:p w:rsidR="00EF131E" w:rsidRPr="00EF131E" w:rsidRDefault="00EF131E" w:rsidP="00EF131E">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 отсутствует информация о дебиторской задолженности в части доходов от неосновательного обогащения, процентов за пользование чужими денежными средствами, в том числе по решениям суда;</w:t>
      </w:r>
    </w:p>
    <w:p w:rsidR="00EF131E" w:rsidRPr="00EF131E" w:rsidRDefault="00EF131E" w:rsidP="00EF131E">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 отсутствует информация о задолженности, имеющей признаки сомнительной (задолженность, не соответствующая критерию актива);</w:t>
      </w:r>
    </w:p>
    <w:p w:rsidR="00EF131E" w:rsidRPr="00EF131E" w:rsidRDefault="00EF131E" w:rsidP="00EF131E">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 сведения о размерах задолженности недостоверны.</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нарушение требований Приказа Минфина России от 15.04.2021 № 157н, Приказа Минфина России от 06.12.2010 № 162н в бухгалтерском учете Комитета и Администрации Эжвинского района учет расчетов по неустойке (пени), сумм неосновательного обогащения, а также процентов за пользование чужими денежными средствами</w:t>
      </w:r>
      <w:r w:rsidR="00636F3A">
        <w:rPr>
          <w:rFonts w:eastAsia="Times New Roman"/>
          <w:sz w:val="28"/>
          <w:szCs w:val="28"/>
          <w:lang w:eastAsia="ru-RU"/>
        </w:rPr>
        <w:t xml:space="preserve"> </w:t>
      </w:r>
      <w:r w:rsidRPr="00EF131E">
        <w:rPr>
          <w:rFonts w:eastAsia="Times New Roman"/>
          <w:sz w:val="28"/>
          <w:szCs w:val="28"/>
          <w:lang w:eastAsia="ru-RU"/>
        </w:rPr>
        <w:t>осуществляется на счете бюджетного учета, предназначенном для учета непосредственно арендных платежей.</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Администрацией Эжвинского района не соблюдены требования к оценке и оформлению результатов инвентаризации активов и обязательств, предусмотренные Порядком проведения инвентаризации, что не обеспечило достоверность бюджетной отчетности.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 xml:space="preserve">В нарушение требований Приказа Минфина России от 15.04.2021 № 157н учет Администрацией Эжвинского района расчетов по доходам от платежей при </w:t>
      </w:r>
      <w:r w:rsidRPr="00EF131E">
        <w:rPr>
          <w:rFonts w:eastAsia="Times New Roman"/>
          <w:sz w:val="28"/>
          <w:szCs w:val="28"/>
          <w:lang w:eastAsia="ru-RU"/>
        </w:rPr>
        <w:lastRenderedPageBreak/>
        <w:t>использовании земельных участков осуществлялся без учета правовых оснований. Нарушение устранено в ходе проведения проверки.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Одним из резервов пополнения доходов муниципального бюджета является имущество, не вовлеченное в хозяйственный оборот. При этом функциональными подразделениями администрации МО ГО "Сыктывкар" не ведется учет земельных участков, не вовлеченных в хозяйственный оборот.</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Недостаточная информированность граждан о наличии земельных участков, свободных от прав третьих лиц (отсутствие информации в открытых источниках), является одним из препятствий для вовлечения их в хозяйственный оборот.</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По итогам проверки на сайтах Администрации МО ГО "Сыктывкар" и Администрации Эжвинского района размещена информация о пустующих земельных участках.</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Положительным моментом деятельности Администрации Эжвинского района является ведение учета свободных земельных участков, которые являются резервом пополнения неналоговых доходов.</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По мнению Контрольно-счетной палаты, 44 из 59 пустующих земельных участков на территории Эжвинского района могут пр</w:t>
      </w:r>
      <w:r w:rsidR="00636F3A">
        <w:rPr>
          <w:rFonts w:eastAsia="Times New Roman"/>
          <w:sz w:val="28"/>
          <w:szCs w:val="28"/>
          <w:lang w:eastAsia="ru-RU"/>
        </w:rPr>
        <w:t>едставлять интерес, в том числе</w:t>
      </w:r>
      <w:r w:rsidRPr="00EF131E">
        <w:rPr>
          <w:rFonts w:eastAsia="Times New Roman"/>
          <w:sz w:val="28"/>
          <w:szCs w:val="28"/>
          <w:lang w:eastAsia="ru-RU"/>
        </w:rPr>
        <w:t xml:space="preserve"> в качестве инвестиционных площадок.</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Также одним из резервов пополнения доходов муниципального бюджета являются земельные участки для ведения садоводства и огородничества. Согласно представленной информации Администрации Эжвинского района 136 из 230 таких земельных участков можно вовлечь в хозяйственный оборот.</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Кроме того, установлено наличие 3 земельных участков, не вовлеченных в хозяйственный оборот, которые могут быть реализованы, либо использованы в качестве инвестиционных площадок.</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Установлены признаки использования земли общей площадью 185 590 кв.м. без оформленных правоустанавливающих документов, что не соответствует принципу платности использования земли, установленному статьей 65 Земельного кодекса Российской Федерации и влечет потери бюджета.</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По итогам проверки Комитетом направлена информация в Управление контроля администрации МО ГО "Сыктывкар" для проведения мероприятий земельного контроля. По объектам, расположенным на территории Эжвинского района, Администрацией Эжвинского района частично проведены мероприятия земельного контроля в период проведения проверки.</w:t>
      </w:r>
    </w:p>
    <w:p w:rsidR="003A156D"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Комитетом и Администрацией Эжвинского района не переданы в аренду 82 процента от общей площади земельных участков под гаражными комплексами, что не соответствует принципу платности использования земли, установленному статьей 65 Земельного кодекса Российской Фе</w:t>
      </w:r>
      <w:r w:rsidR="003A156D">
        <w:rPr>
          <w:rFonts w:eastAsia="Times New Roman"/>
          <w:sz w:val="28"/>
          <w:szCs w:val="28"/>
          <w:lang w:eastAsia="ru-RU"/>
        </w:rPr>
        <w:t>дерации и влечет потери бюджета.</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 xml:space="preserve">Согласно данным Роскадастра на территории МО ГО "Сыктывкар" находятся 7602 земельных участка без оформления прав собственности общей площадью 523 553 кв.м, на которых расположены гаражи и гаражные комплексы. При этом договоры аренды таких земельных участков Комитетом и Администрацией Эжвинского района не заключены, что не соотносится с принципом платности использования земли, установленного статьей 65 Земельного кодекса Российской Федерации, и влечет </w:t>
      </w:r>
      <w:r w:rsidR="003A156D">
        <w:rPr>
          <w:rFonts w:eastAsia="Times New Roman"/>
          <w:sz w:val="28"/>
          <w:szCs w:val="28"/>
          <w:lang w:eastAsia="ru-RU"/>
        </w:rPr>
        <w:t>потери бюджета</w:t>
      </w:r>
      <w:r w:rsidRPr="00EF131E">
        <w:rPr>
          <w:rFonts w:eastAsia="Times New Roman"/>
          <w:sz w:val="28"/>
          <w:szCs w:val="28"/>
          <w:lang w:eastAsia="ru-RU"/>
        </w:rPr>
        <w:t>.</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lastRenderedPageBreak/>
        <w:t>На одном из указанных земельных участков более двух лет действовал только один договор аренды, что составляло всего 0,4 процента от общей площади земельного участка. Администрацией Эжвинского района не принимались меры по взысканию неосновательного обогащения за фактическое использование земельного участка, а также об обязании заключения договоров аренды земельного участка с пользователями гаражного кооператива, в том числе по причине низкого размера ставок арендной платы.</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По пяти из указанных выше 7602 земельных участков установлены признаки их использования не в соответствии с установленным видом разрешенного использования. Гаражи используются в коммерческих целях (сварочные работы, услуги шиномонтажа).</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По итогам проверки Администрацией Эжвинского района проведены мероприятия земельного контроля. Согласно представленным пояснениям изменение вида разрешенного использования для коммерческого использования в отношении данных земельных участков невозможно. Арендаторам внесены предписания о прекращении осуществления коммерческой деятельности.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На территории МО ГО "Сыктывкар" на земельных участках, не зарегистрированных в едином государственном реестре недвижимости, общей площадью 67 497 кв.м. размещены гаражные комплексы (гаражи). Указанные земельные участки являются резервом пополнения муниципального бюджета, в связи с чем требуется принятие мер, обеспечивающих платность их использования.</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Администрацией Эжвинского района при осуществлении претензионной работы за неправомерное использование земли не приняты меры, обеспечивающие взыскание неосновательного обогащения в полном объеме.</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В анализируемый период Администрация Эжвинского района не принимала самостоятельных мер по проведению оценки в целях определения разме</w:t>
      </w:r>
      <w:r w:rsidR="003A156D">
        <w:rPr>
          <w:rFonts w:eastAsia="Times New Roman"/>
          <w:sz w:val="28"/>
          <w:szCs w:val="28"/>
          <w:lang w:eastAsia="ru-RU"/>
        </w:rPr>
        <w:t>ра неосновательного обогащения</w:t>
      </w:r>
      <w:bookmarkStart w:id="0" w:name="_GoBack"/>
      <w:bookmarkEnd w:id="0"/>
      <w:r w:rsidRPr="00EF131E">
        <w:rPr>
          <w:rFonts w:eastAsia="Times New Roman"/>
          <w:sz w:val="28"/>
          <w:szCs w:val="28"/>
          <w:lang w:eastAsia="ru-RU"/>
        </w:rPr>
        <w:t>.</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Республике Коми не внедряются существующие технические решения по обеспечению законности и повышению эффективности использования земельных ресурсов. Например, комплексная система дистанционного мониторинга земли, которая в автоматическом режиме выявляет признаки неправомерного и нецелевого использования земельных участков.</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 xml:space="preserve">По итогам проверки подготовлены предложения по устранению выявленных нарушений и недостатков, в том числе: </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Рассмотреть вопрос о направлении в Правительство Республики Коми обращения о внедрении на базе Геопортала Республики Коми Комплексной системы дистанционного мониторинга земли.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связи с крайне низкими ставками арендной платы за земельные участки, государственная собственность на которые не разграничена (Постановление Правительства Республики Коми от 01.03.2015 № 90), рассмотреть вопрос об увеличении ставок арендной платы для муниципальных земель (Решение Совета МО ГО "Сыктывкар" от 05.02.2016 № 05/2016-66) и системном принятии в муниципальную собственность земельных участков, предоставленных в аренду.</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 xml:space="preserve">В целях стимулирования граждан к регистрации прав собственности на земельные участки под гаражами рассмотреть вопрос об увеличении в Решении </w:t>
      </w:r>
      <w:r w:rsidRPr="00EF131E">
        <w:rPr>
          <w:rFonts w:eastAsia="Times New Roman"/>
          <w:sz w:val="28"/>
          <w:szCs w:val="28"/>
          <w:lang w:eastAsia="ru-RU"/>
        </w:rPr>
        <w:lastRenderedPageBreak/>
        <w:t xml:space="preserve">Совета МО ГО "Сыктывкар" от 05.02.2016 № 05/2016-66 ставки арендной платы для указанных земельных участков выше размера соответствующей налоговой ставки. </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Направить в Правительство Республики Коми обращение о необходимости внесения аналогичных изменений в Постановление Правительства Республики Коми от 01.03.2015 № 90.</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В целях повышения собираемости неналоговых доходов рассмотреть вопрос о включении в Решение Совета МО ГО "Сыктывкар" от 05.02.2016 № 05/2016-66 понижающего коэффициента в случае заключения договора аренды на условиях предоплаты (авансирования) и ежемесячных арендных платежах.</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Провести в отношении земельных участков, имеющих признаки неправомерного и нецелевого использования, мероприятия земельного контроля.</w:t>
      </w:r>
    </w:p>
    <w:p w:rsidR="00EF131E" w:rsidRPr="00EF131E" w:rsidRDefault="00EF131E" w:rsidP="00AE5EA0">
      <w:pPr>
        <w:shd w:val="clear" w:color="auto" w:fill="FFFFFF"/>
        <w:spacing w:line="240" w:lineRule="auto"/>
        <w:ind w:left="0" w:right="0" w:firstLine="567"/>
        <w:jc w:val="both"/>
        <w:rPr>
          <w:rFonts w:eastAsia="Times New Roman"/>
          <w:sz w:val="28"/>
          <w:szCs w:val="28"/>
          <w:lang w:eastAsia="ru-RU"/>
        </w:rPr>
      </w:pPr>
      <w:r w:rsidRPr="00EF131E">
        <w:rPr>
          <w:rFonts w:eastAsia="Times New Roman"/>
          <w:sz w:val="28"/>
          <w:szCs w:val="28"/>
          <w:lang w:eastAsia="ru-RU"/>
        </w:rPr>
        <w:t>При наличии соответствующих оснований обеспечить платность использования земли в соответствии с ее фактическим использованием, в том числе в рамках взыскания неосновательного обогащения. При этом рассмотреть возможность изменения вида разрешенного использования (категории земли, территориальной зоны), обеспечивающих продолжение деятельности пользователей земельных участков и поступление доходов в муниципальный бюджет.</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Рассмотреть вопрос об организации взаимодействия, обеспечивающего взыскание неосновательного обогащения от неправомерного использования земель, не подлежащих предоставлению в аренду без торгов, с учетом рыночной оценки размера арендной платы.</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Подготовить и направить в адрес соответствующих операторов ГИС РК АСУС обращение о внесении изменений в функционал системы, обеспечивающих формирование достоверных отчетных форм в целях возможности их использования, в том числе при подготовке бюджетной финансовой отчетности.</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Провести мероприятия, обеспечивающие достоверное отражение информации в отчетности (списание невостребованной кредиторской задолженности, признание дебиторской задолженности сомнительной).</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Обеспечить отражение неустойки (пени), сумм неосновательного обогащения, а также процентов за использование чужими денежными средствами в соответствии с требованиями действующих нормативных правовых актов.</w:t>
      </w:r>
    </w:p>
    <w:p w:rsidR="00EF131E" w:rsidRPr="00EF131E" w:rsidRDefault="00EF131E" w:rsidP="00EF131E">
      <w:pPr>
        <w:shd w:val="clear" w:color="auto" w:fill="FFFFFF"/>
        <w:spacing w:before="120" w:line="240" w:lineRule="auto"/>
        <w:ind w:left="0" w:right="0" w:firstLine="567"/>
        <w:jc w:val="both"/>
        <w:rPr>
          <w:rFonts w:eastAsia="Times New Roman"/>
          <w:sz w:val="28"/>
          <w:szCs w:val="28"/>
          <w:lang w:eastAsia="ru-RU"/>
        </w:rPr>
      </w:pPr>
      <w:r w:rsidRPr="00EF131E">
        <w:rPr>
          <w:rFonts w:eastAsia="Times New Roman"/>
          <w:sz w:val="28"/>
          <w:szCs w:val="28"/>
          <w:lang w:eastAsia="ru-RU"/>
        </w:rPr>
        <w:t>Отчет о результатах контрольного мероприятия направлен в адрес главы МО ГО "Сыктывкар" – руководителя администрации, в Администрацию Эжвинского района и в Совет города.</w:t>
      </w:r>
    </w:p>
    <w:p w:rsidR="00EF131E" w:rsidRPr="00F63560" w:rsidRDefault="00EF131E" w:rsidP="000D0BB6">
      <w:pPr>
        <w:shd w:val="clear" w:color="auto" w:fill="FFFFFF"/>
        <w:spacing w:before="120" w:line="240" w:lineRule="auto"/>
        <w:ind w:left="0" w:right="0" w:firstLine="567"/>
        <w:jc w:val="both"/>
        <w:rPr>
          <w:rFonts w:eastAsia="Times New Roman"/>
          <w:sz w:val="28"/>
          <w:szCs w:val="28"/>
          <w:lang w:eastAsia="ru-RU"/>
        </w:rPr>
      </w:pPr>
    </w:p>
    <w:sectPr w:rsidR="00EF131E" w:rsidRPr="00F63560" w:rsidSect="00A3426C">
      <w:pgSz w:w="11906" w:h="16838"/>
      <w:pgMar w:top="568" w:right="567" w:bottom="709" w:left="1418" w:header="703"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A1E" w:rsidRDefault="00D90A1E" w:rsidP="00DC4038">
      <w:pPr>
        <w:spacing w:line="240" w:lineRule="auto"/>
      </w:pPr>
      <w:r>
        <w:separator/>
      </w:r>
    </w:p>
  </w:endnote>
  <w:endnote w:type="continuationSeparator" w:id="0">
    <w:p w:rsidR="00D90A1E" w:rsidRDefault="00D90A1E" w:rsidP="00DC4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A1E" w:rsidRDefault="00D90A1E" w:rsidP="00DC4038">
      <w:pPr>
        <w:spacing w:line="240" w:lineRule="auto"/>
      </w:pPr>
      <w:r>
        <w:separator/>
      </w:r>
    </w:p>
  </w:footnote>
  <w:footnote w:type="continuationSeparator" w:id="0">
    <w:p w:rsidR="00D90A1E" w:rsidRDefault="00D90A1E" w:rsidP="00DC40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B41"/>
    <w:multiLevelType w:val="multilevel"/>
    <w:tmpl w:val="113E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50E9"/>
    <w:multiLevelType w:val="multilevel"/>
    <w:tmpl w:val="636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6121B"/>
    <w:multiLevelType w:val="multilevel"/>
    <w:tmpl w:val="903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11141"/>
    <w:multiLevelType w:val="multilevel"/>
    <w:tmpl w:val="598CB300"/>
    <w:lvl w:ilvl="0">
      <w:start w:val="1"/>
      <w:numFmt w:val="decimal"/>
      <w:lvlText w:val="%1."/>
      <w:lvlJc w:val="left"/>
      <w:pPr>
        <w:ind w:left="1422" w:hanging="855"/>
      </w:pPr>
      <w:rPr>
        <w:rFonts w:hint="default"/>
      </w:rPr>
    </w:lvl>
    <w:lvl w:ilvl="1">
      <w:start w:val="1"/>
      <w:numFmt w:val="decimal"/>
      <w:isLgl/>
      <w:lvlText w:val="%2."/>
      <w:lvlJc w:val="left"/>
      <w:pPr>
        <w:ind w:left="2770" w:hanging="360"/>
      </w:pPr>
      <w:rPr>
        <w:rFonts w:ascii="Times New Roman" w:eastAsia="Times New Roman" w:hAnsi="Times New Roman" w:cs="Times New Roman"/>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19D67AE"/>
    <w:multiLevelType w:val="hybridMultilevel"/>
    <w:tmpl w:val="7FFEB700"/>
    <w:lvl w:ilvl="0" w:tplc="0F0CAFC2">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73066E37"/>
    <w:multiLevelType w:val="multilevel"/>
    <w:tmpl w:val="18C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A0978"/>
    <w:multiLevelType w:val="multilevel"/>
    <w:tmpl w:val="C60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B0"/>
    <w:rsid w:val="000105D9"/>
    <w:rsid w:val="00024F53"/>
    <w:rsid w:val="000823CA"/>
    <w:rsid w:val="00097147"/>
    <w:rsid w:val="000A4E8C"/>
    <w:rsid w:val="000D0BB6"/>
    <w:rsid w:val="00185407"/>
    <w:rsid w:val="0019687A"/>
    <w:rsid w:val="001A7EC4"/>
    <w:rsid w:val="001E17A6"/>
    <w:rsid w:val="00201816"/>
    <w:rsid w:val="0027448F"/>
    <w:rsid w:val="002A5A09"/>
    <w:rsid w:val="003009F5"/>
    <w:rsid w:val="003255EA"/>
    <w:rsid w:val="003A156D"/>
    <w:rsid w:val="003B0CE3"/>
    <w:rsid w:val="003D6CA8"/>
    <w:rsid w:val="003D7072"/>
    <w:rsid w:val="003F0E13"/>
    <w:rsid w:val="00417AA8"/>
    <w:rsid w:val="00447A7C"/>
    <w:rsid w:val="00462380"/>
    <w:rsid w:val="00466B00"/>
    <w:rsid w:val="00467DAF"/>
    <w:rsid w:val="0048463B"/>
    <w:rsid w:val="004A21BE"/>
    <w:rsid w:val="00502D37"/>
    <w:rsid w:val="005256F3"/>
    <w:rsid w:val="00536AB6"/>
    <w:rsid w:val="00592229"/>
    <w:rsid w:val="005A0889"/>
    <w:rsid w:val="005B4018"/>
    <w:rsid w:val="005C7FF4"/>
    <w:rsid w:val="00601E87"/>
    <w:rsid w:val="00622E7D"/>
    <w:rsid w:val="00636F3A"/>
    <w:rsid w:val="00637A5C"/>
    <w:rsid w:val="006476AB"/>
    <w:rsid w:val="006571CF"/>
    <w:rsid w:val="006800DE"/>
    <w:rsid w:val="006838B0"/>
    <w:rsid w:val="007A767D"/>
    <w:rsid w:val="008A056A"/>
    <w:rsid w:val="008D1A46"/>
    <w:rsid w:val="008D74ED"/>
    <w:rsid w:val="008E2377"/>
    <w:rsid w:val="009514C2"/>
    <w:rsid w:val="009560FC"/>
    <w:rsid w:val="009A3256"/>
    <w:rsid w:val="009B2C41"/>
    <w:rsid w:val="00A3426C"/>
    <w:rsid w:val="00A37F34"/>
    <w:rsid w:val="00A405FA"/>
    <w:rsid w:val="00AC0014"/>
    <w:rsid w:val="00AE5EA0"/>
    <w:rsid w:val="00B03CCD"/>
    <w:rsid w:val="00B44C32"/>
    <w:rsid w:val="00B4672E"/>
    <w:rsid w:val="00B55A7F"/>
    <w:rsid w:val="00B64CA9"/>
    <w:rsid w:val="00B65292"/>
    <w:rsid w:val="00B86B48"/>
    <w:rsid w:val="00BB58D0"/>
    <w:rsid w:val="00BE3C54"/>
    <w:rsid w:val="00BE68D5"/>
    <w:rsid w:val="00C071DC"/>
    <w:rsid w:val="00C32A8E"/>
    <w:rsid w:val="00CB055B"/>
    <w:rsid w:val="00CC4EBA"/>
    <w:rsid w:val="00CD20B4"/>
    <w:rsid w:val="00CE5D80"/>
    <w:rsid w:val="00CF666E"/>
    <w:rsid w:val="00D41BB0"/>
    <w:rsid w:val="00D90A1E"/>
    <w:rsid w:val="00DC4038"/>
    <w:rsid w:val="00DD2E21"/>
    <w:rsid w:val="00DD5376"/>
    <w:rsid w:val="00E72239"/>
    <w:rsid w:val="00EF131E"/>
    <w:rsid w:val="00EF75BD"/>
    <w:rsid w:val="00F075FF"/>
    <w:rsid w:val="00F6334F"/>
    <w:rsid w:val="00F63560"/>
    <w:rsid w:val="00F67100"/>
    <w:rsid w:val="00F76D91"/>
    <w:rsid w:val="00FA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D58A-49E7-4886-B699-E82AABA7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line="228" w:lineRule="auto"/>
        <w:ind w:left="-113"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07"/>
    <w:pPr>
      <w:widowControl w:val="0"/>
      <w:autoSpaceDE w:val="0"/>
      <w:autoSpaceDN w:val="0"/>
      <w:adjustRightInd w:val="0"/>
      <w:spacing w:line="240" w:lineRule="auto"/>
      <w:ind w:left="708" w:right="0"/>
      <w:jc w:val="left"/>
    </w:pPr>
    <w:rPr>
      <w:rFonts w:eastAsia="Times New Roman"/>
      <w:szCs w:val="24"/>
      <w:lang w:eastAsia="ru-RU"/>
    </w:rPr>
  </w:style>
  <w:style w:type="paragraph" w:styleId="a4">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Знак,Знак2"/>
    <w:basedOn w:val="a"/>
    <w:link w:val="a5"/>
    <w:uiPriority w:val="99"/>
    <w:qFormat/>
    <w:rsid w:val="00DC4038"/>
    <w:pPr>
      <w:widowControl w:val="0"/>
      <w:autoSpaceDE w:val="0"/>
      <w:autoSpaceDN w:val="0"/>
      <w:adjustRightInd w:val="0"/>
      <w:spacing w:line="240" w:lineRule="auto"/>
      <w:ind w:left="0" w:right="0"/>
      <w:jc w:val="left"/>
    </w:pPr>
    <w:rPr>
      <w:rFonts w:eastAsia="Times New Roman"/>
      <w:sz w:val="20"/>
      <w:szCs w:val="20"/>
      <w:lang w:eastAsia="ru-RU"/>
    </w:rPr>
  </w:style>
  <w:style w:type="character" w:customStyle="1" w:styleId="a5">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4"/>
    <w:uiPriority w:val="99"/>
    <w:rsid w:val="00DC4038"/>
    <w:rPr>
      <w:rFonts w:eastAsia="Times New Roman"/>
      <w:sz w:val="20"/>
      <w:szCs w:val="20"/>
      <w:lang w:eastAsia="ru-RU"/>
    </w:rPr>
  </w:style>
  <w:style w:type="character" w:styleId="a6">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16 Point"/>
    <w:link w:val="1"/>
    <w:uiPriority w:val="99"/>
    <w:qFormat/>
    <w:rsid w:val="00DC4038"/>
    <w:rPr>
      <w:vertAlign w:val="superscript"/>
    </w:rPr>
  </w:style>
  <w:style w:type="paragraph" w:customStyle="1" w:styleId="1">
    <w:name w:val="Знак сноски1"/>
    <w:link w:val="a6"/>
    <w:uiPriority w:val="99"/>
    <w:rsid w:val="00DC4038"/>
    <w:pPr>
      <w:spacing w:line="360" w:lineRule="auto"/>
      <w:ind w:left="0" w:right="0"/>
    </w:pPr>
    <w:rPr>
      <w:vertAlign w:val="superscript"/>
    </w:rPr>
  </w:style>
  <w:style w:type="character" w:styleId="a7">
    <w:name w:val="Hyperlink"/>
    <w:basedOn w:val="a0"/>
    <w:uiPriority w:val="99"/>
    <w:unhideWhenUsed/>
    <w:rsid w:val="00DC4038"/>
    <w:rPr>
      <w:color w:val="0563C1" w:themeColor="hyperlink"/>
      <w:u w:val="single"/>
    </w:rPr>
  </w:style>
  <w:style w:type="paragraph" w:styleId="a8">
    <w:name w:val="Balloon Text"/>
    <w:basedOn w:val="a"/>
    <w:link w:val="a9"/>
    <w:uiPriority w:val="99"/>
    <w:semiHidden/>
    <w:unhideWhenUsed/>
    <w:rsid w:val="00B55A7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2049</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КСП-АлТем</dc:creator>
  <cp:keywords/>
  <dc:description/>
  <cp:lastModifiedBy>КСП-АлТем</cp:lastModifiedBy>
  <cp:revision>9</cp:revision>
  <cp:lastPrinted>2026-05-22T07:22:00Z</cp:lastPrinted>
  <dcterms:created xsi:type="dcterms:W3CDTF">2026-05-21T10:47:00Z</dcterms:created>
  <dcterms:modified xsi:type="dcterms:W3CDTF">2026-05-22T12:26:00Z</dcterms:modified>
</cp:coreProperties>
</file>